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765" w:rsidRPr="009119B7" w:rsidRDefault="002D1765" w:rsidP="002D1765">
      <w:pPr>
        <w:pStyle w:val="Zkladntext"/>
        <w:widowControl w:val="0"/>
        <w:jc w:val="left"/>
        <w:rPr>
          <w:rFonts w:ascii="Times New Roman" w:hAnsi="Times New Roman" w:cs="Times New Roman"/>
          <w:b/>
          <w:bCs/>
          <w:sz w:val="20"/>
          <w:szCs w:val="20"/>
        </w:rPr>
      </w:pPr>
      <w:r w:rsidRPr="009119B7">
        <w:rPr>
          <w:rFonts w:ascii="Times New Roman" w:hAnsi="Times New Roman" w:cs="Times New Roman"/>
          <w:b/>
          <w:caps/>
          <w:sz w:val="20"/>
          <w:szCs w:val="20"/>
        </w:rPr>
        <w:t>Vypořádání připomínek k materiálu s názvem:</w:t>
      </w:r>
      <w:r w:rsidRPr="009119B7">
        <w:rPr>
          <w:rFonts w:ascii="Times New Roman" w:hAnsi="Times New Roman" w:cs="Times New Roman"/>
          <w:b/>
          <w:bCs/>
          <w:sz w:val="20"/>
          <w:szCs w:val="20"/>
        </w:rPr>
        <w:t xml:space="preserve"> </w:t>
      </w:r>
      <w:r w:rsidRPr="009119B7">
        <w:rPr>
          <w:rFonts w:ascii="Times New Roman" w:hAnsi="Times New Roman" w:cs="Times New Roman"/>
          <w:b/>
          <w:bCs/>
          <w:sz w:val="20"/>
          <w:szCs w:val="20"/>
        </w:rPr>
        <w:tab/>
      </w:r>
      <w:r w:rsidRPr="009119B7">
        <w:rPr>
          <w:rFonts w:ascii="Times New Roman" w:hAnsi="Times New Roman" w:cs="Times New Roman"/>
          <w:b/>
          <w:bCs/>
          <w:sz w:val="20"/>
          <w:szCs w:val="20"/>
        </w:rPr>
        <w:tab/>
      </w:r>
    </w:p>
    <w:p w:rsidR="002D1765" w:rsidRPr="009119B7" w:rsidRDefault="002D1765" w:rsidP="002D1765">
      <w:pPr>
        <w:pStyle w:val="Zkladntext"/>
        <w:widowControl w:val="0"/>
        <w:jc w:val="left"/>
        <w:rPr>
          <w:rFonts w:ascii="Times New Roman" w:hAnsi="Times New Roman" w:cs="Times New Roman"/>
          <w:b/>
          <w:sz w:val="20"/>
          <w:szCs w:val="20"/>
        </w:rPr>
      </w:pPr>
    </w:p>
    <w:p w:rsidR="004903D9" w:rsidRPr="009119B7" w:rsidRDefault="002D1765" w:rsidP="004903D9">
      <w:pPr>
        <w:autoSpaceDE w:val="0"/>
        <w:autoSpaceDN w:val="0"/>
        <w:adjustRightInd w:val="0"/>
        <w:jc w:val="both"/>
        <w:rPr>
          <w:rFonts w:ascii="Times New Roman" w:hAnsi="Times New Roman" w:cs="Times New Roman"/>
          <w:b/>
          <w:bCs/>
          <w:sz w:val="20"/>
          <w:szCs w:val="20"/>
        </w:rPr>
      </w:pPr>
      <w:r w:rsidRPr="009119B7">
        <w:rPr>
          <w:rFonts w:ascii="Times New Roman" w:hAnsi="Times New Roman" w:cs="Times New Roman"/>
          <w:b/>
          <w:bCs/>
          <w:sz w:val="20"/>
          <w:szCs w:val="20"/>
        </w:rPr>
        <w:t xml:space="preserve">Vnější připomínkové řízení k návrhu vyhlášky, kterou se mění vyhláška č. </w:t>
      </w:r>
      <w:r w:rsidR="004903D9" w:rsidRPr="009119B7">
        <w:rPr>
          <w:rFonts w:ascii="Times New Roman" w:hAnsi="Times New Roman" w:cs="Times New Roman"/>
          <w:b/>
          <w:bCs/>
          <w:sz w:val="20"/>
          <w:szCs w:val="20"/>
        </w:rPr>
        <w:t>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 v souvislosti s implementací některých ustanovení směrnice Rady č. 2011/85/EU o požadavcích na rozpočtové rámce členských států, a s dalšími úpravami</w:t>
      </w:r>
    </w:p>
    <w:p w:rsidR="002D1765" w:rsidRPr="009119B7" w:rsidRDefault="002D1765" w:rsidP="002D1765">
      <w:pPr>
        <w:autoSpaceDE w:val="0"/>
        <w:autoSpaceDN w:val="0"/>
        <w:adjustRightInd w:val="0"/>
        <w:jc w:val="both"/>
        <w:rPr>
          <w:rFonts w:ascii="Times New Roman" w:hAnsi="Times New Roman" w:cs="Times New Roman"/>
          <w:b/>
          <w:bCs/>
          <w:sz w:val="20"/>
          <w:szCs w:val="20"/>
        </w:rPr>
      </w:pPr>
    </w:p>
    <w:p w:rsidR="004903D9" w:rsidRPr="009119B7" w:rsidRDefault="004903D9" w:rsidP="002D1765">
      <w:pPr>
        <w:autoSpaceDE w:val="0"/>
        <w:autoSpaceDN w:val="0"/>
        <w:adjustRightInd w:val="0"/>
        <w:jc w:val="both"/>
        <w:rPr>
          <w:rFonts w:ascii="Times New Roman" w:hAnsi="Times New Roman" w:cs="Times New Roman"/>
          <w:b/>
          <w:bCs/>
          <w:sz w:val="20"/>
          <w:szCs w:val="20"/>
        </w:rPr>
      </w:pPr>
    </w:p>
    <w:p w:rsidR="002D1765" w:rsidRPr="009119B7" w:rsidRDefault="002D1765" w:rsidP="002D1765">
      <w:pPr>
        <w:widowControl w:val="0"/>
        <w:rPr>
          <w:rFonts w:ascii="Times New Roman" w:hAnsi="Times New Roman" w:cs="Times New Roman"/>
          <w:b/>
          <w:sz w:val="20"/>
          <w:szCs w:val="20"/>
        </w:rPr>
      </w:pPr>
    </w:p>
    <w:p w:rsidR="002D1765" w:rsidRPr="009119B7" w:rsidRDefault="002D1765" w:rsidP="002D1765">
      <w:pPr>
        <w:widowControl w:val="0"/>
        <w:rPr>
          <w:rFonts w:ascii="Times New Roman" w:hAnsi="Times New Roman" w:cs="Times New Roman"/>
          <w:sz w:val="20"/>
          <w:szCs w:val="20"/>
        </w:rPr>
      </w:pPr>
      <w:r w:rsidRPr="009119B7">
        <w:rPr>
          <w:rFonts w:ascii="Times New Roman" w:hAnsi="Times New Roman" w:cs="Times New Roman"/>
          <w:sz w:val="20"/>
          <w:szCs w:val="20"/>
        </w:rPr>
        <w:t xml:space="preserve">Dle Jednacího řádu vlády byl materiál rozeslán do meziresortního připomínkového řízení dopisem ministra financí dne </w:t>
      </w:r>
      <w:r w:rsidR="00233202" w:rsidRPr="009119B7">
        <w:rPr>
          <w:rFonts w:ascii="Times New Roman" w:hAnsi="Times New Roman" w:cs="Times New Roman"/>
          <w:sz w:val="20"/>
          <w:szCs w:val="20"/>
        </w:rPr>
        <w:t>31</w:t>
      </w:r>
      <w:r w:rsidRPr="009119B7">
        <w:rPr>
          <w:rFonts w:ascii="Times New Roman" w:hAnsi="Times New Roman" w:cs="Times New Roman"/>
          <w:sz w:val="20"/>
          <w:szCs w:val="20"/>
        </w:rPr>
        <w:t xml:space="preserve">. </w:t>
      </w:r>
      <w:r w:rsidR="00233202" w:rsidRPr="009119B7">
        <w:rPr>
          <w:rFonts w:ascii="Times New Roman" w:hAnsi="Times New Roman" w:cs="Times New Roman"/>
          <w:sz w:val="20"/>
          <w:szCs w:val="20"/>
        </w:rPr>
        <w:t>října</w:t>
      </w:r>
      <w:r w:rsidRPr="009119B7">
        <w:rPr>
          <w:rFonts w:ascii="Times New Roman" w:hAnsi="Times New Roman" w:cs="Times New Roman"/>
          <w:sz w:val="20"/>
          <w:szCs w:val="20"/>
        </w:rPr>
        <w:t xml:space="preserve"> 2013, s</w:t>
      </w:r>
      <w:r w:rsidR="00233202" w:rsidRPr="009119B7">
        <w:rPr>
          <w:rFonts w:ascii="Times New Roman" w:hAnsi="Times New Roman" w:cs="Times New Roman"/>
          <w:sz w:val="20"/>
          <w:szCs w:val="20"/>
        </w:rPr>
        <w:t> termínem dodání stanovisek do 21</w:t>
      </w:r>
      <w:r w:rsidR="0006329A" w:rsidRPr="009119B7">
        <w:rPr>
          <w:rFonts w:ascii="Times New Roman" w:hAnsi="Times New Roman" w:cs="Times New Roman"/>
          <w:sz w:val="20"/>
          <w:szCs w:val="20"/>
        </w:rPr>
        <w:t>. </w:t>
      </w:r>
      <w:r w:rsidR="00233202" w:rsidRPr="009119B7">
        <w:rPr>
          <w:rFonts w:ascii="Times New Roman" w:hAnsi="Times New Roman" w:cs="Times New Roman"/>
          <w:sz w:val="20"/>
          <w:szCs w:val="20"/>
        </w:rPr>
        <w:t>listopadu</w:t>
      </w:r>
      <w:r w:rsidRPr="009119B7">
        <w:rPr>
          <w:rFonts w:ascii="Times New Roman" w:hAnsi="Times New Roman" w:cs="Times New Roman"/>
          <w:sz w:val="20"/>
          <w:szCs w:val="20"/>
        </w:rPr>
        <w:t xml:space="preserve"> 2013. Vyhodnocení tohoto řízení je uvedeno v následující tabulce:</w:t>
      </w:r>
    </w:p>
    <w:p w:rsidR="00673391" w:rsidRPr="009119B7" w:rsidRDefault="00673391" w:rsidP="002D1765">
      <w:pPr>
        <w:widowControl w:val="0"/>
        <w:rPr>
          <w:rFonts w:ascii="Times New Roman" w:hAnsi="Times New Roman" w:cs="Times New Roman"/>
          <w:sz w:val="20"/>
          <w:szCs w:val="20"/>
        </w:rPr>
      </w:pPr>
    </w:p>
    <w:p w:rsidR="00673391" w:rsidRPr="009119B7" w:rsidRDefault="00673391" w:rsidP="002D1765">
      <w:pPr>
        <w:widowControl w:val="0"/>
        <w:rPr>
          <w:rFonts w:ascii="Times New Roman" w:hAnsi="Times New Roman" w:cs="Times New Roman"/>
          <w:sz w:val="20"/>
          <w:szCs w:val="20"/>
        </w:rPr>
      </w:pPr>
    </w:p>
    <w:tbl>
      <w:tblPr>
        <w:tblpPr w:leftFromText="141" w:rightFromText="141" w:vertAnchor="text" w:horzAnchor="margin" w:tblpY="200"/>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1275"/>
        <w:gridCol w:w="1276"/>
        <w:gridCol w:w="5803"/>
        <w:gridCol w:w="3553"/>
      </w:tblGrid>
      <w:tr w:rsidR="00E20AEF" w:rsidRPr="009119B7" w:rsidTr="00E20AEF">
        <w:trPr>
          <w:trHeight w:val="1262"/>
        </w:trPr>
        <w:tc>
          <w:tcPr>
            <w:tcW w:w="14142" w:type="dxa"/>
            <w:gridSpan w:val="6"/>
            <w:tcBorders>
              <w:top w:val="nil"/>
              <w:left w:val="nil"/>
              <w:right w:val="nil"/>
            </w:tcBorders>
            <w:shd w:val="clear" w:color="auto" w:fill="auto"/>
          </w:tcPr>
          <w:p w:rsidR="00E20AEF" w:rsidRPr="009119B7" w:rsidRDefault="00E20AEF" w:rsidP="00640280">
            <w:pPr>
              <w:widowControl w:val="0"/>
              <w:jc w:val="center"/>
              <w:rPr>
                <w:rFonts w:ascii="Times New Roman" w:hAnsi="Times New Roman" w:cs="Times New Roman"/>
                <w:b/>
                <w:sz w:val="22"/>
                <w:szCs w:val="22"/>
              </w:rPr>
            </w:pPr>
            <w:bookmarkStart w:id="0" w:name="_GoBack"/>
            <w:bookmarkEnd w:id="0"/>
            <w:r w:rsidRPr="009119B7">
              <w:rPr>
                <w:rFonts w:ascii="Times New Roman" w:hAnsi="Times New Roman" w:cs="Times New Roman"/>
                <w:b/>
                <w:sz w:val="22"/>
                <w:szCs w:val="22"/>
              </w:rPr>
              <w:t>OSTATNÍ PŘIPOMÍNKOVÁ MÍSTA</w:t>
            </w:r>
          </w:p>
          <w:p w:rsidR="00E20AEF" w:rsidRPr="009119B7" w:rsidRDefault="00E20AEF" w:rsidP="00640280">
            <w:pPr>
              <w:widowControl w:val="0"/>
              <w:jc w:val="center"/>
              <w:rPr>
                <w:rFonts w:ascii="Times New Roman" w:hAnsi="Times New Roman" w:cs="Times New Roman"/>
                <w:b/>
                <w:sz w:val="22"/>
                <w:szCs w:val="22"/>
              </w:rPr>
            </w:pPr>
            <w:r w:rsidRPr="009119B7">
              <w:rPr>
                <w:rFonts w:ascii="Times New Roman" w:hAnsi="Times New Roman" w:cs="Times New Roman"/>
                <w:b/>
                <w:sz w:val="22"/>
                <w:szCs w:val="22"/>
              </w:rPr>
              <w:t>OSTATNÍ</w:t>
            </w:r>
          </w:p>
          <w:p w:rsidR="00E20AEF" w:rsidRPr="009119B7" w:rsidRDefault="00E20AEF" w:rsidP="00640280">
            <w:pPr>
              <w:widowControl w:val="0"/>
              <w:jc w:val="center"/>
              <w:rPr>
                <w:rFonts w:ascii="Times New Roman" w:hAnsi="Times New Roman" w:cs="Times New Roman"/>
                <w:b/>
                <w:sz w:val="22"/>
                <w:szCs w:val="22"/>
              </w:rPr>
            </w:pPr>
            <w:r w:rsidRPr="009119B7">
              <w:rPr>
                <w:rFonts w:ascii="Times New Roman" w:hAnsi="Times New Roman" w:cs="Times New Roman"/>
                <w:b/>
                <w:sz w:val="22"/>
                <w:szCs w:val="22"/>
              </w:rPr>
              <w:t>(</w:t>
            </w:r>
            <w:proofErr w:type="spellStart"/>
            <w:r w:rsidRPr="009119B7">
              <w:rPr>
                <w:rFonts w:ascii="Times New Roman" w:hAnsi="Times New Roman" w:cs="Times New Roman"/>
                <w:b/>
                <w:sz w:val="22"/>
                <w:szCs w:val="22"/>
              </w:rPr>
              <w:t>eKLEP</w:t>
            </w:r>
            <w:proofErr w:type="spellEnd"/>
            <w:r w:rsidRPr="009119B7">
              <w:rPr>
                <w:rFonts w:ascii="Times New Roman" w:hAnsi="Times New Roman" w:cs="Times New Roman"/>
                <w:b/>
                <w:sz w:val="22"/>
                <w:szCs w:val="22"/>
              </w:rPr>
              <w:t>)</w:t>
            </w:r>
          </w:p>
          <w:p w:rsidR="00E20AEF" w:rsidRPr="009119B7" w:rsidRDefault="00E20AEF" w:rsidP="00640280">
            <w:pPr>
              <w:widowControl w:val="0"/>
              <w:rPr>
                <w:rFonts w:ascii="Times New Roman" w:hAnsi="Times New Roman" w:cs="Times New Roman"/>
                <w:bCs/>
                <w:sz w:val="20"/>
                <w:szCs w:val="20"/>
              </w:rPr>
            </w:pPr>
          </w:p>
        </w:tc>
      </w:tr>
      <w:tr w:rsidR="009E1F32" w:rsidRPr="009119B7" w:rsidTr="00D87E7C">
        <w:tc>
          <w:tcPr>
            <w:tcW w:w="817" w:type="dxa"/>
            <w:tcBorders>
              <w:left w:val="single" w:sz="4" w:space="0" w:color="auto"/>
            </w:tcBorders>
            <w:shd w:val="clear" w:color="auto" w:fill="A6A6A6" w:themeFill="background1" w:themeFillShade="A6"/>
          </w:tcPr>
          <w:p w:rsidR="009E1F32" w:rsidRPr="009119B7" w:rsidRDefault="009E1F32" w:rsidP="009E1F32">
            <w:pPr>
              <w:widowControl w:val="0"/>
              <w:jc w:val="both"/>
              <w:rPr>
                <w:rFonts w:ascii="Times New Roman" w:hAnsi="Times New Roman" w:cs="Times New Roman"/>
                <w:b/>
                <w:bCs/>
                <w:sz w:val="20"/>
                <w:szCs w:val="20"/>
              </w:rPr>
            </w:pPr>
          </w:p>
        </w:tc>
        <w:tc>
          <w:tcPr>
            <w:tcW w:w="1418" w:type="dxa"/>
            <w:shd w:val="clear" w:color="auto" w:fill="A6A6A6" w:themeFill="background1" w:themeFillShade="A6"/>
          </w:tcPr>
          <w:p w:rsidR="009E1F32" w:rsidRPr="009119B7" w:rsidRDefault="009E1F32" w:rsidP="00640280">
            <w:pPr>
              <w:widowControl w:val="0"/>
              <w:rPr>
                <w:rFonts w:ascii="Times New Roman" w:hAnsi="Times New Roman" w:cs="Times New Roman"/>
                <w:sz w:val="20"/>
                <w:szCs w:val="20"/>
              </w:rPr>
            </w:pPr>
            <w:r w:rsidRPr="009119B7">
              <w:rPr>
                <w:rFonts w:ascii="Times New Roman" w:hAnsi="Times New Roman" w:cs="Times New Roman"/>
                <w:b/>
                <w:bCs/>
                <w:sz w:val="20"/>
                <w:szCs w:val="20"/>
              </w:rPr>
              <w:t>Resort</w:t>
            </w:r>
          </w:p>
        </w:tc>
        <w:tc>
          <w:tcPr>
            <w:tcW w:w="1275" w:type="dxa"/>
            <w:shd w:val="clear" w:color="auto" w:fill="A6A6A6" w:themeFill="background1" w:themeFillShade="A6"/>
          </w:tcPr>
          <w:p w:rsidR="009E1F32" w:rsidRPr="009119B7" w:rsidRDefault="009E1F32" w:rsidP="009E1F32">
            <w:pPr>
              <w:widowControl w:val="0"/>
              <w:jc w:val="both"/>
              <w:rPr>
                <w:rFonts w:ascii="Times New Roman" w:hAnsi="Times New Roman" w:cs="Times New Roman"/>
                <w:b/>
                <w:bCs/>
                <w:sz w:val="20"/>
                <w:szCs w:val="20"/>
              </w:rPr>
            </w:pPr>
            <w:r w:rsidRPr="009119B7">
              <w:rPr>
                <w:rFonts w:ascii="Times New Roman" w:hAnsi="Times New Roman" w:cs="Times New Roman"/>
                <w:b/>
                <w:bCs/>
                <w:sz w:val="20"/>
                <w:szCs w:val="20"/>
              </w:rPr>
              <w:t>Článek</w:t>
            </w:r>
          </w:p>
        </w:tc>
        <w:tc>
          <w:tcPr>
            <w:tcW w:w="1276" w:type="dxa"/>
            <w:shd w:val="clear" w:color="auto" w:fill="A6A6A6" w:themeFill="background1" w:themeFillShade="A6"/>
          </w:tcPr>
          <w:p w:rsidR="009E1F32" w:rsidRPr="009119B7" w:rsidRDefault="009E1F32" w:rsidP="009E1F32">
            <w:pPr>
              <w:widowControl w:val="0"/>
              <w:jc w:val="both"/>
              <w:rPr>
                <w:rFonts w:ascii="Times New Roman" w:hAnsi="Times New Roman" w:cs="Times New Roman"/>
                <w:b/>
                <w:bCs/>
                <w:sz w:val="20"/>
                <w:szCs w:val="20"/>
              </w:rPr>
            </w:pPr>
            <w:r w:rsidRPr="009119B7">
              <w:rPr>
                <w:rFonts w:ascii="Times New Roman" w:hAnsi="Times New Roman" w:cs="Times New Roman"/>
                <w:b/>
                <w:bCs/>
                <w:sz w:val="20"/>
                <w:szCs w:val="20"/>
              </w:rPr>
              <w:t>Relevance</w:t>
            </w:r>
          </w:p>
        </w:tc>
        <w:tc>
          <w:tcPr>
            <w:tcW w:w="5803" w:type="dxa"/>
            <w:shd w:val="clear" w:color="auto" w:fill="A6A6A6" w:themeFill="background1" w:themeFillShade="A6"/>
          </w:tcPr>
          <w:p w:rsidR="009E1F32" w:rsidRPr="009119B7" w:rsidRDefault="009E1F32" w:rsidP="009E1F32">
            <w:pPr>
              <w:widowControl w:val="0"/>
              <w:jc w:val="both"/>
              <w:rPr>
                <w:rFonts w:ascii="Times New Roman" w:hAnsi="Times New Roman" w:cs="Times New Roman"/>
                <w:sz w:val="20"/>
                <w:szCs w:val="20"/>
              </w:rPr>
            </w:pPr>
            <w:r w:rsidRPr="009119B7">
              <w:rPr>
                <w:rFonts w:ascii="Times New Roman" w:hAnsi="Times New Roman" w:cs="Times New Roman"/>
                <w:b/>
                <w:bCs/>
                <w:sz w:val="20"/>
                <w:szCs w:val="20"/>
              </w:rPr>
              <w:t>Připomínky</w:t>
            </w:r>
          </w:p>
        </w:tc>
        <w:tc>
          <w:tcPr>
            <w:tcW w:w="3553" w:type="dxa"/>
            <w:tcBorders>
              <w:right w:val="single" w:sz="4" w:space="0" w:color="auto"/>
            </w:tcBorders>
            <w:shd w:val="clear" w:color="auto" w:fill="A6A6A6" w:themeFill="background1" w:themeFillShade="A6"/>
          </w:tcPr>
          <w:p w:rsidR="009E1F32" w:rsidRPr="009119B7" w:rsidRDefault="009E1F32" w:rsidP="009E1F32">
            <w:pPr>
              <w:widowControl w:val="0"/>
              <w:jc w:val="both"/>
              <w:rPr>
                <w:rFonts w:ascii="Times New Roman" w:hAnsi="Times New Roman" w:cs="Times New Roman"/>
                <w:sz w:val="20"/>
                <w:szCs w:val="20"/>
              </w:rPr>
            </w:pPr>
            <w:r w:rsidRPr="009119B7">
              <w:rPr>
                <w:rFonts w:ascii="Times New Roman" w:hAnsi="Times New Roman" w:cs="Times New Roman"/>
                <w:b/>
                <w:bCs/>
                <w:sz w:val="20"/>
                <w:szCs w:val="20"/>
              </w:rPr>
              <w:t>Vypořádání</w:t>
            </w:r>
          </w:p>
        </w:tc>
      </w:tr>
      <w:tr w:rsidR="00673391" w:rsidRPr="009119B7" w:rsidTr="002D1765">
        <w:tc>
          <w:tcPr>
            <w:tcW w:w="817" w:type="dxa"/>
            <w:shd w:val="clear" w:color="auto" w:fill="auto"/>
          </w:tcPr>
          <w:p w:rsidR="00673391" w:rsidRPr="009119B7" w:rsidRDefault="007E6F78" w:rsidP="00673391">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80.</w:t>
            </w:r>
          </w:p>
        </w:tc>
        <w:tc>
          <w:tcPr>
            <w:tcW w:w="1418" w:type="dxa"/>
            <w:shd w:val="clear" w:color="auto" w:fill="auto"/>
          </w:tcPr>
          <w:p w:rsidR="00673391" w:rsidRPr="009119B7" w:rsidRDefault="00673391" w:rsidP="00640280">
            <w:pPr>
              <w:pStyle w:val="Nadpis2"/>
              <w:rPr>
                <w:sz w:val="20"/>
              </w:rPr>
            </w:pPr>
            <w:r w:rsidRPr="009119B7">
              <w:rPr>
                <w:sz w:val="20"/>
              </w:rPr>
              <w:t>Svaz měst a obcí České republiky</w:t>
            </w:r>
          </w:p>
        </w:tc>
        <w:tc>
          <w:tcPr>
            <w:tcW w:w="1275" w:type="dxa"/>
            <w:shd w:val="clear" w:color="auto" w:fill="auto"/>
          </w:tcPr>
          <w:p w:rsidR="00673391" w:rsidRPr="009119B7" w:rsidRDefault="00673391" w:rsidP="00673391">
            <w:pPr>
              <w:widowControl w:val="0"/>
              <w:jc w:val="both"/>
              <w:rPr>
                <w:rFonts w:ascii="Times New Roman" w:hAnsi="Times New Roman" w:cs="Times New Roman"/>
                <w:sz w:val="20"/>
                <w:szCs w:val="20"/>
              </w:rPr>
            </w:pPr>
            <w:r w:rsidRPr="009119B7">
              <w:rPr>
                <w:rFonts w:ascii="Times New Roman" w:hAnsi="Times New Roman" w:cs="Times New Roman"/>
                <w:sz w:val="20"/>
                <w:szCs w:val="20"/>
              </w:rPr>
              <w:t>obecná</w:t>
            </w:r>
          </w:p>
        </w:tc>
        <w:tc>
          <w:tcPr>
            <w:tcW w:w="1276" w:type="dxa"/>
            <w:shd w:val="clear" w:color="auto" w:fill="auto"/>
          </w:tcPr>
          <w:p w:rsidR="00673391" w:rsidRPr="009119B7" w:rsidRDefault="00E75039" w:rsidP="00673391">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ostatní</w:t>
            </w:r>
          </w:p>
        </w:tc>
        <w:tc>
          <w:tcPr>
            <w:tcW w:w="5803" w:type="dxa"/>
            <w:shd w:val="clear" w:color="auto" w:fill="auto"/>
          </w:tcPr>
          <w:p w:rsidR="00673391" w:rsidRPr="009119B7" w:rsidRDefault="00673391" w:rsidP="00673391">
            <w:pPr>
              <w:tabs>
                <w:tab w:val="left" w:pos="927"/>
              </w:tabs>
              <w:jc w:val="both"/>
              <w:rPr>
                <w:rFonts w:ascii="Times New Roman" w:hAnsi="Times New Roman" w:cs="Times New Roman"/>
                <w:bCs/>
                <w:sz w:val="20"/>
                <w:szCs w:val="20"/>
              </w:rPr>
            </w:pPr>
            <w:r w:rsidRPr="009119B7">
              <w:rPr>
                <w:rFonts w:ascii="Times New Roman" w:hAnsi="Times New Roman" w:cs="Times New Roman"/>
                <w:sz w:val="20"/>
                <w:szCs w:val="20"/>
              </w:rPr>
              <w:t xml:space="preserve">Návrh vyhlášky mění znění pomocného analytického přehledu, což se projeví v dopadech na rozpočty územně samosprávných celků, jelikož budou muset aktualizovat software, zvýší se také administrativní náročnost. Nejvyšší počet dotčených subjektů je právě z řad měst, obcí a jimi zřizovaných organizací. </w:t>
            </w:r>
            <w:r w:rsidRPr="009119B7">
              <w:rPr>
                <w:rFonts w:ascii="Times New Roman" w:hAnsi="Times New Roman" w:cs="Times New Roman"/>
                <w:b/>
                <w:sz w:val="20"/>
                <w:szCs w:val="20"/>
              </w:rPr>
              <w:t>Ve zdůvodnění postrádáme zahrnutí a rozpracování dopadů do rozpočtů z navržené změny vyhlášky.</w:t>
            </w:r>
            <w:r w:rsidRPr="009119B7">
              <w:rPr>
                <w:rFonts w:ascii="Times New Roman" w:hAnsi="Times New Roman" w:cs="Times New Roman"/>
                <w:sz w:val="20"/>
                <w:szCs w:val="20"/>
              </w:rPr>
              <w:t xml:space="preserve"> Jedná se už o několikátou změnu v oblasti účetních záznamů a tyto dodatečné náklady nejsou nijak zohledněny v příspěvku na přenesenou působnost.</w:t>
            </w:r>
            <w:r w:rsidRPr="009119B7">
              <w:rPr>
                <w:rFonts w:ascii="Times New Roman" w:hAnsi="Times New Roman" w:cs="Times New Roman"/>
                <w:bCs/>
                <w:sz w:val="20"/>
                <w:szCs w:val="20"/>
              </w:rPr>
              <w:t xml:space="preserve"> </w:t>
            </w:r>
          </w:p>
        </w:tc>
        <w:tc>
          <w:tcPr>
            <w:tcW w:w="3553" w:type="dxa"/>
            <w:shd w:val="clear" w:color="auto" w:fill="auto"/>
          </w:tcPr>
          <w:p w:rsidR="00673391" w:rsidRPr="009119B7" w:rsidRDefault="00E410F8" w:rsidP="00673391">
            <w:pPr>
              <w:widowControl w:val="0"/>
              <w:jc w:val="both"/>
              <w:rPr>
                <w:rFonts w:ascii="Times New Roman" w:hAnsi="Times New Roman" w:cs="Times New Roman"/>
                <w:b/>
                <w:bCs/>
                <w:sz w:val="20"/>
                <w:szCs w:val="20"/>
              </w:rPr>
            </w:pPr>
            <w:r w:rsidRPr="009119B7">
              <w:rPr>
                <w:rFonts w:ascii="Times New Roman" w:hAnsi="Times New Roman" w:cs="Times New Roman"/>
                <w:b/>
                <w:bCs/>
                <w:sz w:val="20"/>
                <w:szCs w:val="20"/>
              </w:rPr>
              <w:t>Vysvětleno.</w:t>
            </w:r>
          </w:p>
          <w:p w:rsidR="007F1D76" w:rsidRPr="009119B7" w:rsidRDefault="007F1D76" w:rsidP="00673391">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Jak je uvedeno v odůvodnění návrhu vyhlášky, vyčíslení výše těchto dopadů mělo být předmětem důvodové zprávy návrhu ústavního zákona o rozpočtové odpovědnosti a návrhu jeho prováděcího zákona o pravidlech rozpočtové odpovědnosti, kterými měla být směrnice Rady č. 2011/85/EU o požadavcích na rozpočtové rámce členských států transponována do českého právního řádu. Od okamžiku, kdy byla udělena výjimka z RIA pro celou implementaci předmětné směrnice, lze předpokládat, že se tato výjimka vztahuje také na dílčí implementaci.</w:t>
            </w:r>
          </w:p>
        </w:tc>
      </w:tr>
      <w:tr w:rsidR="00673391" w:rsidRPr="009119B7" w:rsidTr="002D1765">
        <w:tc>
          <w:tcPr>
            <w:tcW w:w="817" w:type="dxa"/>
            <w:shd w:val="clear" w:color="auto" w:fill="auto"/>
          </w:tcPr>
          <w:p w:rsidR="00673391" w:rsidRPr="009119B7" w:rsidRDefault="007E6F78" w:rsidP="00673391">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81.</w:t>
            </w:r>
          </w:p>
        </w:tc>
        <w:tc>
          <w:tcPr>
            <w:tcW w:w="1418" w:type="dxa"/>
            <w:shd w:val="clear" w:color="auto" w:fill="auto"/>
          </w:tcPr>
          <w:p w:rsidR="00673391" w:rsidRPr="009119B7" w:rsidRDefault="00673391" w:rsidP="00640280">
            <w:pPr>
              <w:pStyle w:val="Nadpis2"/>
              <w:rPr>
                <w:sz w:val="20"/>
              </w:rPr>
            </w:pPr>
            <w:r w:rsidRPr="009119B7">
              <w:rPr>
                <w:sz w:val="20"/>
              </w:rPr>
              <w:t xml:space="preserve">Úřad pro zastupování </w:t>
            </w:r>
            <w:r w:rsidRPr="009119B7">
              <w:rPr>
                <w:sz w:val="20"/>
              </w:rPr>
              <w:lastRenderedPageBreak/>
              <w:t>státu ve věcech majetkových</w:t>
            </w:r>
          </w:p>
        </w:tc>
        <w:tc>
          <w:tcPr>
            <w:tcW w:w="1275" w:type="dxa"/>
            <w:shd w:val="clear" w:color="auto" w:fill="auto"/>
          </w:tcPr>
          <w:p w:rsidR="00673391" w:rsidRPr="009119B7" w:rsidRDefault="00AD3E9E" w:rsidP="00673391">
            <w:pPr>
              <w:widowControl w:val="0"/>
              <w:jc w:val="both"/>
              <w:rPr>
                <w:rFonts w:ascii="Times New Roman" w:hAnsi="Times New Roman" w:cs="Times New Roman"/>
                <w:sz w:val="20"/>
                <w:szCs w:val="20"/>
              </w:rPr>
            </w:pPr>
            <w:r w:rsidRPr="009119B7">
              <w:rPr>
                <w:rFonts w:ascii="Times New Roman" w:hAnsi="Times New Roman" w:cs="Times New Roman"/>
                <w:sz w:val="20"/>
                <w:szCs w:val="20"/>
              </w:rPr>
              <w:lastRenderedPageBreak/>
              <w:t>Metodika PAP</w:t>
            </w:r>
          </w:p>
        </w:tc>
        <w:tc>
          <w:tcPr>
            <w:tcW w:w="1276" w:type="dxa"/>
            <w:shd w:val="clear" w:color="auto" w:fill="auto"/>
          </w:tcPr>
          <w:p w:rsidR="00673391" w:rsidRPr="009119B7" w:rsidRDefault="00673391" w:rsidP="00673391">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ostatní</w:t>
            </w:r>
          </w:p>
        </w:tc>
        <w:tc>
          <w:tcPr>
            <w:tcW w:w="5803" w:type="dxa"/>
            <w:shd w:val="clear" w:color="auto" w:fill="auto"/>
          </w:tcPr>
          <w:p w:rsidR="00673391" w:rsidRPr="009119B7" w:rsidRDefault="00673391" w:rsidP="00673391">
            <w:pPr>
              <w:tabs>
                <w:tab w:val="left" w:pos="927"/>
              </w:tabs>
              <w:jc w:val="both"/>
              <w:rPr>
                <w:rFonts w:ascii="Times New Roman" w:hAnsi="Times New Roman" w:cs="Times New Roman"/>
                <w:sz w:val="20"/>
                <w:szCs w:val="20"/>
              </w:rPr>
            </w:pPr>
            <w:r w:rsidRPr="009119B7">
              <w:rPr>
                <w:rFonts w:ascii="Times New Roman" w:hAnsi="Times New Roman" w:cs="Times New Roman"/>
                <w:sz w:val="20"/>
                <w:szCs w:val="20"/>
              </w:rPr>
              <w:t xml:space="preserve">Ke správné aplikaci vyhlášky stále </w:t>
            </w:r>
            <w:r w:rsidRPr="009119B7">
              <w:rPr>
                <w:rFonts w:ascii="Times New Roman" w:hAnsi="Times New Roman" w:cs="Times New Roman"/>
                <w:b/>
                <w:sz w:val="20"/>
                <w:szCs w:val="20"/>
              </w:rPr>
              <w:t>chybí Metodika, která by měla obsahovat popis sledovaných skutečností od 1.</w:t>
            </w:r>
            <w:r w:rsidR="00FB24E1" w:rsidRPr="009119B7">
              <w:rPr>
                <w:rFonts w:ascii="Times New Roman" w:hAnsi="Times New Roman" w:cs="Times New Roman"/>
                <w:b/>
                <w:sz w:val="20"/>
                <w:szCs w:val="20"/>
              </w:rPr>
              <w:t xml:space="preserve"> </w:t>
            </w:r>
            <w:r w:rsidRPr="009119B7">
              <w:rPr>
                <w:rFonts w:ascii="Times New Roman" w:hAnsi="Times New Roman" w:cs="Times New Roman"/>
                <w:b/>
                <w:sz w:val="20"/>
                <w:szCs w:val="20"/>
              </w:rPr>
              <w:t>1.</w:t>
            </w:r>
            <w:r w:rsidR="00FB24E1" w:rsidRPr="009119B7">
              <w:rPr>
                <w:rFonts w:ascii="Times New Roman" w:hAnsi="Times New Roman" w:cs="Times New Roman"/>
                <w:b/>
                <w:sz w:val="20"/>
                <w:szCs w:val="20"/>
              </w:rPr>
              <w:t xml:space="preserve"> </w:t>
            </w:r>
            <w:r w:rsidRPr="009119B7">
              <w:rPr>
                <w:rFonts w:ascii="Times New Roman" w:hAnsi="Times New Roman" w:cs="Times New Roman"/>
                <w:b/>
                <w:sz w:val="20"/>
                <w:szCs w:val="20"/>
              </w:rPr>
              <w:t xml:space="preserve">2014 </w:t>
            </w:r>
            <w:r w:rsidRPr="009119B7">
              <w:rPr>
                <w:rFonts w:ascii="Times New Roman" w:hAnsi="Times New Roman" w:cs="Times New Roman"/>
                <w:sz w:val="20"/>
                <w:szCs w:val="20"/>
              </w:rPr>
              <w:t xml:space="preserve">(např. </w:t>
            </w:r>
            <w:r w:rsidRPr="009119B7">
              <w:rPr>
                <w:rFonts w:ascii="Times New Roman" w:hAnsi="Times New Roman" w:cs="Times New Roman"/>
                <w:sz w:val="20"/>
                <w:szCs w:val="20"/>
              </w:rPr>
              <w:lastRenderedPageBreak/>
              <w:t>výpočet marže v části XI nebo v části X. Identifikátor veřejné zakázky). Proto navrhujeme účinnosti dotčených částí odložit až k 1.1.2015, aby v návaznosti na zveřejnění metodiky byl vytvořen dostatečný časový prostor pro úpravy EKIS.</w:t>
            </w:r>
          </w:p>
        </w:tc>
        <w:tc>
          <w:tcPr>
            <w:tcW w:w="3553" w:type="dxa"/>
            <w:shd w:val="clear" w:color="auto" w:fill="auto"/>
          </w:tcPr>
          <w:p w:rsidR="00F753C2" w:rsidRPr="009119B7" w:rsidRDefault="00F753C2" w:rsidP="00F753C2">
            <w:pPr>
              <w:widowControl w:val="0"/>
              <w:jc w:val="both"/>
              <w:rPr>
                <w:rFonts w:ascii="Times New Roman" w:hAnsi="Times New Roman" w:cs="Times New Roman"/>
                <w:sz w:val="20"/>
                <w:szCs w:val="20"/>
              </w:rPr>
            </w:pPr>
            <w:r w:rsidRPr="009119B7">
              <w:rPr>
                <w:rFonts w:ascii="Times New Roman" w:hAnsi="Times New Roman" w:cs="Times New Roman"/>
                <w:b/>
                <w:sz w:val="20"/>
                <w:szCs w:val="20"/>
              </w:rPr>
              <w:lastRenderedPageBreak/>
              <w:t>Vysvětleno</w:t>
            </w:r>
            <w:r w:rsidRPr="009119B7">
              <w:rPr>
                <w:rFonts w:ascii="Times New Roman" w:hAnsi="Times New Roman" w:cs="Times New Roman"/>
                <w:sz w:val="20"/>
                <w:szCs w:val="20"/>
              </w:rPr>
              <w:t>.</w:t>
            </w:r>
          </w:p>
          <w:p w:rsidR="00F753C2" w:rsidRPr="009119B7" w:rsidRDefault="00F753C2" w:rsidP="00FB24E1">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 xml:space="preserve">Jednotlivé metodiky budou zveřejňovány </w:t>
            </w:r>
            <w:r w:rsidRPr="009119B7">
              <w:rPr>
                <w:rFonts w:ascii="Times New Roman" w:hAnsi="Times New Roman" w:cs="Times New Roman"/>
                <w:bCs/>
                <w:sz w:val="20"/>
                <w:szCs w:val="20"/>
              </w:rPr>
              <w:lastRenderedPageBreak/>
              <w:t>v souladu s ukončením legislativních procesů k jednotlivým vyhláškám.</w:t>
            </w:r>
          </w:p>
          <w:p w:rsidR="00DD5B81" w:rsidRPr="009119B7" w:rsidRDefault="00DD5B81" w:rsidP="00673391">
            <w:pPr>
              <w:widowControl w:val="0"/>
              <w:jc w:val="both"/>
              <w:rPr>
                <w:rFonts w:ascii="Times New Roman" w:hAnsi="Times New Roman" w:cs="Times New Roman"/>
                <w:b/>
                <w:bCs/>
                <w:sz w:val="20"/>
                <w:szCs w:val="20"/>
              </w:rPr>
            </w:pPr>
          </w:p>
        </w:tc>
      </w:tr>
      <w:tr w:rsidR="00673391" w:rsidRPr="009119B7" w:rsidTr="002D1765">
        <w:tc>
          <w:tcPr>
            <w:tcW w:w="817" w:type="dxa"/>
            <w:shd w:val="clear" w:color="auto" w:fill="auto"/>
          </w:tcPr>
          <w:p w:rsidR="00673391" w:rsidRPr="009119B7" w:rsidRDefault="007E6F78" w:rsidP="00673391">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lastRenderedPageBreak/>
              <w:t>82.</w:t>
            </w:r>
          </w:p>
        </w:tc>
        <w:tc>
          <w:tcPr>
            <w:tcW w:w="1418" w:type="dxa"/>
            <w:shd w:val="clear" w:color="auto" w:fill="auto"/>
          </w:tcPr>
          <w:p w:rsidR="00673391" w:rsidRPr="009119B7" w:rsidRDefault="00673391" w:rsidP="00640280">
            <w:pPr>
              <w:pStyle w:val="Nadpis2"/>
              <w:rPr>
                <w:sz w:val="20"/>
              </w:rPr>
            </w:pPr>
            <w:r w:rsidRPr="009119B7">
              <w:rPr>
                <w:sz w:val="20"/>
              </w:rPr>
              <w:t>Úřad pro zastupování státu ve věcech majetkových</w:t>
            </w:r>
          </w:p>
        </w:tc>
        <w:tc>
          <w:tcPr>
            <w:tcW w:w="1275" w:type="dxa"/>
            <w:shd w:val="clear" w:color="auto" w:fill="auto"/>
          </w:tcPr>
          <w:p w:rsidR="00673391" w:rsidRPr="009119B7" w:rsidRDefault="00AD3E9E" w:rsidP="00673391">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4</w:t>
            </w:r>
          </w:p>
        </w:tc>
        <w:tc>
          <w:tcPr>
            <w:tcW w:w="1276" w:type="dxa"/>
            <w:shd w:val="clear" w:color="auto" w:fill="auto"/>
          </w:tcPr>
          <w:p w:rsidR="00673391" w:rsidRPr="009119B7" w:rsidRDefault="00673391" w:rsidP="00673391">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ostatní</w:t>
            </w:r>
          </w:p>
        </w:tc>
        <w:tc>
          <w:tcPr>
            <w:tcW w:w="5803" w:type="dxa"/>
            <w:shd w:val="clear" w:color="auto" w:fill="auto"/>
          </w:tcPr>
          <w:p w:rsidR="00673391" w:rsidRPr="009119B7" w:rsidRDefault="00673391" w:rsidP="00673391">
            <w:pPr>
              <w:tabs>
                <w:tab w:val="left" w:pos="927"/>
              </w:tabs>
              <w:jc w:val="both"/>
              <w:rPr>
                <w:rFonts w:ascii="Times New Roman" w:hAnsi="Times New Roman" w:cs="Times New Roman"/>
                <w:sz w:val="20"/>
                <w:szCs w:val="20"/>
              </w:rPr>
            </w:pPr>
            <w:r w:rsidRPr="009119B7">
              <w:rPr>
                <w:rFonts w:ascii="Times New Roman" w:hAnsi="Times New Roman" w:cs="Times New Roman"/>
                <w:sz w:val="20"/>
                <w:szCs w:val="20"/>
              </w:rPr>
              <w:t xml:space="preserve">Přestože součástí platného znění vyhlášky je i Příloha č. 4 Termíny pro předávání jiných účetních záznamů, dosud tyto nebyly definovány a není k dispozici ani technický manuál. Proto doporučujeme přílohu č. 4 vypustit nebo vyznačit její účinnost nejdříve od roku 2015.  </w:t>
            </w:r>
          </w:p>
        </w:tc>
        <w:tc>
          <w:tcPr>
            <w:tcW w:w="3553" w:type="dxa"/>
            <w:shd w:val="clear" w:color="auto" w:fill="auto"/>
          </w:tcPr>
          <w:p w:rsidR="006926A2" w:rsidRPr="006926A2" w:rsidRDefault="006926A2" w:rsidP="006926A2">
            <w:pPr>
              <w:widowControl w:val="0"/>
              <w:jc w:val="both"/>
              <w:rPr>
                <w:rFonts w:ascii="Times New Roman" w:hAnsi="Times New Roman" w:cs="Times New Roman"/>
                <w:b/>
                <w:bCs/>
                <w:sz w:val="20"/>
                <w:szCs w:val="20"/>
              </w:rPr>
            </w:pPr>
            <w:r w:rsidRPr="006926A2">
              <w:rPr>
                <w:rFonts w:ascii="Times New Roman" w:hAnsi="Times New Roman" w:cs="Times New Roman"/>
                <w:b/>
                <w:bCs/>
                <w:sz w:val="20"/>
                <w:szCs w:val="20"/>
              </w:rPr>
              <w:t xml:space="preserve">Vysvětleno. </w:t>
            </w:r>
          </w:p>
          <w:p w:rsidR="00673391" w:rsidRPr="009119B7" w:rsidRDefault="006926A2" w:rsidP="006926A2">
            <w:pPr>
              <w:widowControl w:val="0"/>
              <w:jc w:val="both"/>
              <w:rPr>
                <w:rFonts w:ascii="Times New Roman" w:hAnsi="Times New Roman" w:cs="Times New Roman"/>
                <w:b/>
                <w:bCs/>
                <w:sz w:val="20"/>
                <w:szCs w:val="20"/>
              </w:rPr>
            </w:pPr>
            <w:r w:rsidRPr="006926A2">
              <w:rPr>
                <w:rFonts w:ascii="Times New Roman" w:hAnsi="Times New Roman" w:cs="Times New Roman"/>
                <w:bCs/>
                <w:sz w:val="20"/>
                <w:szCs w:val="20"/>
              </w:rPr>
              <w:t>Tato informace bude předávána účetní jednotkou, jejíž účetní závěrka je schvalována standardní přenosovou cestou, a to prostřednictvím ZO nebo NZO. Informace bude předávána poprvé současně s ÚZ za rok 2013.</w:t>
            </w:r>
          </w:p>
        </w:tc>
      </w:tr>
      <w:tr w:rsidR="00673391" w:rsidRPr="009119B7" w:rsidTr="002D1765">
        <w:tc>
          <w:tcPr>
            <w:tcW w:w="817" w:type="dxa"/>
            <w:shd w:val="clear" w:color="auto" w:fill="auto"/>
          </w:tcPr>
          <w:p w:rsidR="00673391" w:rsidRPr="009119B7" w:rsidRDefault="007E6F78" w:rsidP="00673391">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83.</w:t>
            </w:r>
          </w:p>
        </w:tc>
        <w:tc>
          <w:tcPr>
            <w:tcW w:w="1418" w:type="dxa"/>
            <w:shd w:val="clear" w:color="auto" w:fill="auto"/>
          </w:tcPr>
          <w:p w:rsidR="00673391" w:rsidRPr="009119B7" w:rsidRDefault="00673391" w:rsidP="00640280">
            <w:pPr>
              <w:pStyle w:val="Nadpis2"/>
              <w:rPr>
                <w:sz w:val="20"/>
              </w:rPr>
            </w:pPr>
            <w:r w:rsidRPr="009119B7">
              <w:rPr>
                <w:sz w:val="20"/>
              </w:rPr>
              <w:t>Úřad pro zastupování státu ve věcech majetkových</w:t>
            </w:r>
          </w:p>
        </w:tc>
        <w:tc>
          <w:tcPr>
            <w:tcW w:w="1275" w:type="dxa"/>
            <w:shd w:val="clear" w:color="auto" w:fill="auto"/>
          </w:tcPr>
          <w:p w:rsidR="00673391" w:rsidRPr="009119B7" w:rsidRDefault="00AD3E9E" w:rsidP="00673391">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tc>
        <w:tc>
          <w:tcPr>
            <w:tcW w:w="1276" w:type="dxa"/>
            <w:shd w:val="clear" w:color="auto" w:fill="auto"/>
          </w:tcPr>
          <w:p w:rsidR="00673391" w:rsidRPr="009119B7" w:rsidRDefault="00673391" w:rsidP="00673391">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ostatní</w:t>
            </w:r>
          </w:p>
        </w:tc>
        <w:tc>
          <w:tcPr>
            <w:tcW w:w="5803" w:type="dxa"/>
            <w:shd w:val="clear" w:color="auto" w:fill="auto"/>
          </w:tcPr>
          <w:p w:rsidR="00673391" w:rsidRPr="009119B7" w:rsidRDefault="00673391" w:rsidP="00673391">
            <w:pPr>
              <w:tabs>
                <w:tab w:val="left" w:pos="927"/>
              </w:tabs>
              <w:jc w:val="both"/>
              <w:rPr>
                <w:rFonts w:ascii="Times New Roman" w:hAnsi="Times New Roman" w:cs="Times New Roman"/>
                <w:sz w:val="20"/>
                <w:szCs w:val="20"/>
              </w:rPr>
            </w:pPr>
            <w:r w:rsidRPr="009119B7">
              <w:rPr>
                <w:rFonts w:ascii="Times New Roman" w:hAnsi="Times New Roman" w:cs="Times New Roman"/>
                <w:sz w:val="20"/>
                <w:szCs w:val="20"/>
              </w:rPr>
              <w:t>V návrhu je zakotven rozpor s návrhem vyhlášky č. 410/2009 Sb. podle kterého se účty 377 a 378 budou převádět na účty 397 a 398 až k 1.1.2015, avšak v PAP jsou již nahrazeny ve vzoru pro rok 2014</w:t>
            </w:r>
          </w:p>
        </w:tc>
        <w:tc>
          <w:tcPr>
            <w:tcW w:w="3553" w:type="dxa"/>
            <w:shd w:val="clear" w:color="auto" w:fill="auto"/>
          </w:tcPr>
          <w:p w:rsidR="00DD5B81" w:rsidRPr="009119B7" w:rsidRDefault="0022608F" w:rsidP="00673391">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Vyhověno.</w:t>
            </w:r>
          </w:p>
          <w:p w:rsidR="0022608F" w:rsidRPr="009119B7" w:rsidRDefault="0022608F" w:rsidP="00673391">
            <w:pPr>
              <w:widowControl w:val="0"/>
              <w:jc w:val="both"/>
              <w:rPr>
                <w:rFonts w:ascii="Times New Roman" w:hAnsi="Times New Roman" w:cs="Times New Roman"/>
                <w:bCs/>
                <w:sz w:val="20"/>
                <w:szCs w:val="20"/>
              </w:rPr>
            </w:pPr>
            <w:r w:rsidRPr="009119B7">
              <w:rPr>
                <w:rFonts w:ascii="Times New Roman" w:hAnsi="Times New Roman" w:cs="Times New Roman"/>
                <w:sz w:val="20"/>
                <w:szCs w:val="20"/>
              </w:rPr>
              <w:t>Příloha č. 2a upravena.</w:t>
            </w:r>
          </w:p>
        </w:tc>
      </w:tr>
      <w:tr w:rsidR="00AD3E9E" w:rsidRPr="009119B7" w:rsidTr="002D1765">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84.</w:t>
            </w:r>
          </w:p>
        </w:tc>
        <w:tc>
          <w:tcPr>
            <w:tcW w:w="1418" w:type="dxa"/>
            <w:shd w:val="clear" w:color="auto" w:fill="auto"/>
          </w:tcPr>
          <w:p w:rsidR="00AD3E9E" w:rsidRPr="009119B7" w:rsidRDefault="00AD3E9E" w:rsidP="00AD3E9E">
            <w:pPr>
              <w:pStyle w:val="Nadpis2"/>
              <w:rPr>
                <w:sz w:val="20"/>
              </w:rPr>
            </w:pPr>
            <w:r w:rsidRPr="009119B7">
              <w:rPr>
                <w:sz w:val="20"/>
              </w:rPr>
              <w:t>Úřad pro zastupování státu ve věcech majetkových</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tc>
        <w:tc>
          <w:tcPr>
            <w:tcW w:w="1276" w:type="dxa"/>
            <w:shd w:val="clear" w:color="auto" w:fill="auto"/>
          </w:tcPr>
          <w:p w:rsidR="00AD3E9E" w:rsidRPr="009119B7" w:rsidRDefault="00AD3E9E"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tabs>
                <w:tab w:val="left" w:pos="927"/>
              </w:tabs>
              <w:jc w:val="both"/>
              <w:rPr>
                <w:rFonts w:ascii="Times New Roman" w:hAnsi="Times New Roman" w:cs="Times New Roman"/>
                <w:sz w:val="20"/>
                <w:szCs w:val="20"/>
              </w:rPr>
            </w:pPr>
            <w:r w:rsidRPr="009119B7">
              <w:rPr>
                <w:rFonts w:ascii="Times New Roman" w:hAnsi="Times New Roman" w:cs="Times New Roman"/>
                <w:sz w:val="20"/>
                <w:szCs w:val="20"/>
              </w:rPr>
              <w:t>V analytickém členění účtů 551 a 661 schází členění majetkových účastí s podstatným vlivem, tj. členění neodpovídá účtu 043 a skupině 06X.</w:t>
            </w:r>
          </w:p>
        </w:tc>
        <w:tc>
          <w:tcPr>
            <w:tcW w:w="3553" w:type="dxa"/>
            <w:shd w:val="clear" w:color="auto" w:fill="auto"/>
          </w:tcPr>
          <w:p w:rsidR="00F753C2" w:rsidRPr="009119B7" w:rsidRDefault="00F753C2" w:rsidP="00F753C2">
            <w:pPr>
              <w:widowControl w:val="0"/>
              <w:jc w:val="both"/>
              <w:rPr>
                <w:rFonts w:ascii="Times New Roman" w:hAnsi="Times New Roman" w:cs="Times New Roman"/>
                <w:sz w:val="20"/>
                <w:szCs w:val="20"/>
              </w:rPr>
            </w:pPr>
            <w:r w:rsidRPr="009119B7">
              <w:rPr>
                <w:rFonts w:ascii="Times New Roman" w:hAnsi="Times New Roman" w:cs="Times New Roman"/>
                <w:b/>
                <w:sz w:val="20"/>
                <w:szCs w:val="20"/>
              </w:rPr>
              <w:t>Vysvětleno</w:t>
            </w:r>
            <w:r w:rsidRPr="009119B7">
              <w:rPr>
                <w:rFonts w:ascii="Times New Roman" w:hAnsi="Times New Roman" w:cs="Times New Roman"/>
                <w:sz w:val="20"/>
                <w:szCs w:val="20"/>
              </w:rPr>
              <w:t>.</w:t>
            </w:r>
          </w:p>
          <w:p w:rsidR="0022608F" w:rsidRPr="009119B7" w:rsidRDefault="00F753C2" w:rsidP="0022608F">
            <w:pPr>
              <w:widowControl w:val="0"/>
              <w:jc w:val="both"/>
              <w:rPr>
                <w:rFonts w:ascii="Times New Roman" w:hAnsi="Times New Roman" w:cs="Times New Roman"/>
                <w:bCs/>
                <w:sz w:val="20"/>
                <w:szCs w:val="20"/>
              </w:rPr>
            </w:pPr>
            <w:r w:rsidRPr="009119B7">
              <w:rPr>
                <w:rFonts w:ascii="Times New Roman" w:hAnsi="Times New Roman" w:cs="Times New Roman"/>
                <w:sz w:val="20"/>
                <w:szCs w:val="20"/>
              </w:rPr>
              <w:t>Toto členění nebylo formálně požadováno ze strany uživatele PAP.</w:t>
            </w:r>
          </w:p>
          <w:p w:rsidR="00DD5B81" w:rsidRPr="009119B7" w:rsidRDefault="00DD5B81" w:rsidP="00AD3E9E">
            <w:pPr>
              <w:widowControl w:val="0"/>
              <w:jc w:val="both"/>
              <w:rPr>
                <w:rFonts w:ascii="Times New Roman" w:hAnsi="Times New Roman" w:cs="Times New Roman"/>
                <w:b/>
                <w:bCs/>
                <w:sz w:val="20"/>
                <w:szCs w:val="20"/>
              </w:rPr>
            </w:pPr>
          </w:p>
        </w:tc>
      </w:tr>
      <w:tr w:rsidR="00AD3E9E" w:rsidRPr="009119B7" w:rsidTr="002D1765">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85.</w:t>
            </w:r>
          </w:p>
        </w:tc>
        <w:tc>
          <w:tcPr>
            <w:tcW w:w="1418" w:type="dxa"/>
            <w:shd w:val="clear" w:color="auto" w:fill="auto"/>
          </w:tcPr>
          <w:p w:rsidR="00AD3E9E" w:rsidRPr="009119B7" w:rsidRDefault="00AD3E9E" w:rsidP="00AD3E9E">
            <w:pPr>
              <w:pStyle w:val="Nadpis2"/>
              <w:rPr>
                <w:sz w:val="20"/>
              </w:rPr>
            </w:pPr>
            <w:r w:rsidRPr="009119B7">
              <w:rPr>
                <w:sz w:val="20"/>
              </w:rPr>
              <w:t>Nejvyšší kontrolní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Obecně</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Metodika tvorby PAP</w:t>
            </w:r>
          </w:p>
        </w:tc>
        <w:tc>
          <w:tcPr>
            <w:tcW w:w="1276" w:type="dxa"/>
            <w:shd w:val="clear" w:color="auto" w:fill="auto"/>
          </w:tcPr>
          <w:p w:rsidR="00AD3E9E" w:rsidRPr="009119B7" w:rsidRDefault="00AD3E9E"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sz w:val="20"/>
                <w:szCs w:val="20"/>
              </w:rPr>
            </w:pPr>
            <w:r w:rsidRPr="009119B7">
              <w:rPr>
                <w:rFonts w:ascii="Times New Roman" w:hAnsi="Times New Roman" w:cs="Times New Roman"/>
                <w:sz w:val="20"/>
                <w:szCs w:val="20"/>
              </w:rPr>
              <w:t>Odkazujeme na obecné připomínky NKÚ k souboru předložených návrhů novel prováděcích vyhlášek k zákonu účetnictví uvedené v připomínkách k návrhu vyhlášky, kterou se mění vyhláška č. 410/2009 Sb., kterou se provádějí některá ustanovení zákona č. 563/1991 Sb., o účetnictví, ve znění pozdějších předpisů, pro některé vybrané účetní jednotky, ve znění pozdějších předpisů.</w:t>
            </w:r>
          </w:p>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 xml:space="preserve">Dále uvádíme, že v roce 2012 bylo obsahové vymezení některých položek PAP upraveno v materiálu označeném jako „Metodika tvorby PAP“, zveřejňovaném na webových stránkách Ministerstva financí. V samotném textu Metodiky tvorby PAP není uveden odkaz na právní předpis, na základě kterého byl tento materiál vydán. Stejně tak žádný právní předpis výslovně nestanoví, že by Metodika tvorby PAP byla závazná. Tento materiál proto nemůže být z právního hlediska považován za právně závazný pro dotčené účetní jednotky. V této souvislosti doporučujeme předmětný materiál upravit tak, aby bylo zřejmé, že je součástí Technického manuálu centrálního systému účetních informací státu, jehož zveřejňování způsobem umožňujícím dálkový přístup předpokládá vyhláška č. 383/2009 Sb. </w:t>
            </w:r>
            <w:r w:rsidRPr="009119B7">
              <w:rPr>
                <w:rFonts w:ascii="Times New Roman" w:hAnsi="Times New Roman" w:cs="Times New Roman"/>
                <w:bCs/>
                <w:sz w:val="20"/>
                <w:szCs w:val="20"/>
              </w:rPr>
              <w:lastRenderedPageBreak/>
              <w:t>Touto změnou by se úprava obsažená v tomto materiálu stala pro dotčené účetní jednotky závaznou.</w:t>
            </w:r>
          </w:p>
          <w:p w:rsidR="00AD3E9E" w:rsidRPr="009119B7" w:rsidRDefault="00AD3E9E" w:rsidP="00AD3E9E">
            <w:pPr>
              <w:tabs>
                <w:tab w:val="left" w:pos="927"/>
              </w:tabs>
              <w:jc w:val="both"/>
              <w:rPr>
                <w:rFonts w:ascii="Times New Roman" w:hAnsi="Times New Roman" w:cs="Times New Roman"/>
                <w:sz w:val="20"/>
                <w:szCs w:val="20"/>
              </w:rPr>
            </w:pPr>
            <w:r w:rsidRPr="009119B7">
              <w:rPr>
                <w:rFonts w:ascii="Times New Roman" w:hAnsi="Times New Roman" w:cs="Times New Roman"/>
                <w:bCs/>
                <w:sz w:val="20"/>
                <w:szCs w:val="20"/>
              </w:rPr>
              <w:t>Z hlediska vytvoření nezbytných podmínek pro výkon kontrolní činnosti dále doporučujeme, aby jednotlivé verze metodik či technických manuálů zveřejňovaných způsobem umožňujícím dálkový přístup byly číslované, datované a na webu Ministerstva financí zpětně dohledatelné.</w:t>
            </w:r>
          </w:p>
        </w:tc>
        <w:tc>
          <w:tcPr>
            <w:tcW w:w="3553" w:type="dxa"/>
            <w:shd w:val="clear" w:color="auto" w:fill="auto"/>
          </w:tcPr>
          <w:p w:rsidR="00AD3E9E" w:rsidRPr="009119B7" w:rsidRDefault="0022608F" w:rsidP="00AD3E9E">
            <w:pPr>
              <w:widowControl w:val="0"/>
              <w:jc w:val="both"/>
              <w:rPr>
                <w:rFonts w:ascii="Times New Roman" w:hAnsi="Times New Roman" w:cs="Times New Roman"/>
                <w:sz w:val="20"/>
                <w:szCs w:val="20"/>
              </w:rPr>
            </w:pPr>
            <w:r w:rsidRPr="009119B7">
              <w:rPr>
                <w:rFonts w:ascii="Times New Roman" w:hAnsi="Times New Roman" w:cs="Times New Roman"/>
                <w:b/>
                <w:sz w:val="20"/>
                <w:szCs w:val="20"/>
              </w:rPr>
              <w:lastRenderedPageBreak/>
              <w:t>Vysvětleno</w:t>
            </w:r>
            <w:r w:rsidRPr="009119B7">
              <w:rPr>
                <w:rFonts w:ascii="Times New Roman" w:hAnsi="Times New Roman" w:cs="Times New Roman"/>
                <w:sz w:val="20"/>
                <w:szCs w:val="20"/>
              </w:rPr>
              <w:t>.</w:t>
            </w:r>
          </w:p>
          <w:p w:rsidR="0022608F" w:rsidRPr="009119B7" w:rsidRDefault="0022608F"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Předkladatel zváží doplnění uvedeného odkazu v následujícím období. Vypořádání dalších připomínek viz vypořádání k návrhu novely vyhlášky č. 410/2009 Sb.</w:t>
            </w:r>
          </w:p>
        </w:tc>
      </w:tr>
      <w:tr w:rsidR="00AD3E9E" w:rsidRPr="009119B7" w:rsidTr="002D1765">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lastRenderedPageBreak/>
              <w:t>86.</w:t>
            </w:r>
          </w:p>
        </w:tc>
        <w:tc>
          <w:tcPr>
            <w:tcW w:w="1418" w:type="dxa"/>
            <w:shd w:val="clear" w:color="auto" w:fill="auto"/>
          </w:tcPr>
          <w:p w:rsidR="00AD3E9E" w:rsidRPr="009119B7" w:rsidRDefault="00AD3E9E" w:rsidP="00AD3E9E">
            <w:pPr>
              <w:pStyle w:val="Nadpis2"/>
              <w:rPr>
                <w:sz w:val="20"/>
              </w:rPr>
            </w:pPr>
            <w:r w:rsidRPr="009119B7">
              <w:rPr>
                <w:sz w:val="20"/>
              </w:rPr>
              <w:t>Nejvyšší kontrolní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bCs/>
                <w:sz w:val="20"/>
                <w:szCs w:val="20"/>
              </w:rPr>
              <w:t>čl. I bod 5.</w:t>
            </w:r>
          </w:p>
        </w:tc>
        <w:tc>
          <w:tcPr>
            <w:tcW w:w="1276" w:type="dxa"/>
            <w:shd w:val="clear" w:color="auto" w:fill="auto"/>
          </w:tcPr>
          <w:p w:rsidR="00AD3E9E" w:rsidRPr="009119B7" w:rsidRDefault="00AD3E9E" w:rsidP="00AD3E9E">
            <w:pPr>
              <w:widowControl w:val="0"/>
              <w:jc w:val="both"/>
              <w:rPr>
                <w:rFonts w:ascii="Times New Roman" w:hAnsi="Times New Roman" w:cs="Times New Roman"/>
                <w:bCs/>
                <w:sz w:val="20"/>
                <w:szCs w:val="20"/>
              </w:rPr>
            </w:pPr>
          </w:p>
        </w:tc>
        <w:tc>
          <w:tcPr>
            <w:tcW w:w="5803" w:type="dxa"/>
            <w:shd w:val="clear" w:color="auto" w:fill="auto"/>
          </w:tcPr>
          <w:p w:rsidR="00AD3E9E" w:rsidRPr="009119B7" w:rsidRDefault="00AD3E9E" w:rsidP="00AD3E9E">
            <w:pPr>
              <w:jc w:val="both"/>
              <w:rPr>
                <w:rFonts w:ascii="Times New Roman" w:eastAsiaTheme="minorHAnsi" w:hAnsi="Times New Roman" w:cs="Times New Roman"/>
                <w:sz w:val="20"/>
                <w:szCs w:val="20"/>
              </w:rPr>
            </w:pPr>
            <w:r w:rsidRPr="009119B7">
              <w:rPr>
                <w:rFonts w:ascii="Times New Roman" w:eastAsiaTheme="minorHAnsi" w:hAnsi="Times New Roman" w:cs="Times New Roman"/>
                <w:sz w:val="20"/>
                <w:szCs w:val="20"/>
              </w:rPr>
              <w:t xml:space="preserve">Doporučujeme upravit název položky 022 v přílohách tak, aby byl v souladu s navrhovaným názvem účtu 022 dle vyhlášky č. 410/2009 Sb. (Samostatné </w:t>
            </w:r>
            <w:r w:rsidRPr="009119B7">
              <w:rPr>
                <w:rFonts w:ascii="Times New Roman" w:eastAsiaTheme="minorHAnsi" w:hAnsi="Times New Roman" w:cs="Times New Roman"/>
                <w:b/>
                <w:sz w:val="20"/>
                <w:szCs w:val="20"/>
              </w:rPr>
              <w:t>hmotné</w:t>
            </w:r>
            <w:r w:rsidRPr="009119B7">
              <w:rPr>
                <w:rFonts w:ascii="Times New Roman" w:eastAsiaTheme="minorHAnsi" w:hAnsi="Times New Roman" w:cs="Times New Roman"/>
                <w:sz w:val="20"/>
                <w:szCs w:val="20"/>
              </w:rPr>
              <w:t xml:space="preserve"> movité věci a soubory </w:t>
            </w:r>
            <w:r w:rsidRPr="009119B7">
              <w:rPr>
                <w:rFonts w:ascii="Times New Roman" w:eastAsiaTheme="minorHAnsi" w:hAnsi="Times New Roman" w:cs="Times New Roman"/>
                <w:b/>
                <w:sz w:val="20"/>
                <w:szCs w:val="20"/>
              </w:rPr>
              <w:t>hmotných</w:t>
            </w:r>
            <w:r w:rsidRPr="009119B7">
              <w:rPr>
                <w:rFonts w:ascii="Times New Roman" w:eastAsiaTheme="minorHAnsi" w:hAnsi="Times New Roman" w:cs="Times New Roman"/>
                <w:sz w:val="20"/>
                <w:szCs w:val="20"/>
              </w:rPr>
              <w:t xml:space="preserve"> movitých věcí).</w:t>
            </w:r>
          </w:p>
        </w:tc>
        <w:tc>
          <w:tcPr>
            <w:tcW w:w="3553" w:type="dxa"/>
            <w:shd w:val="clear" w:color="auto" w:fill="auto"/>
          </w:tcPr>
          <w:p w:rsidR="009119B7" w:rsidRPr="009119B7" w:rsidRDefault="009119B7" w:rsidP="009119B7">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Vyhověno.</w:t>
            </w:r>
          </w:p>
          <w:p w:rsidR="00DD5B81" w:rsidRPr="009119B7" w:rsidRDefault="009119B7" w:rsidP="009119B7">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Příloha č. 2a a č. 3a upravena.</w:t>
            </w:r>
          </w:p>
        </w:tc>
      </w:tr>
      <w:tr w:rsidR="00AD3E9E" w:rsidRPr="009119B7" w:rsidTr="002D1765">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87.</w:t>
            </w:r>
          </w:p>
        </w:tc>
        <w:tc>
          <w:tcPr>
            <w:tcW w:w="1418" w:type="dxa"/>
            <w:shd w:val="clear" w:color="auto" w:fill="auto"/>
          </w:tcPr>
          <w:p w:rsidR="00AD3E9E" w:rsidRPr="009119B7" w:rsidRDefault="00AD3E9E" w:rsidP="00AD3E9E">
            <w:pPr>
              <w:pStyle w:val="Nadpis2"/>
              <w:rPr>
                <w:sz w:val="20"/>
              </w:rPr>
            </w:pPr>
            <w:r w:rsidRPr="009119B7">
              <w:rPr>
                <w:sz w:val="20"/>
              </w:rPr>
              <w:t>Nejvyšší kontrolní úřad</w:t>
            </w:r>
          </w:p>
        </w:tc>
        <w:tc>
          <w:tcPr>
            <w:tcW w:w="1275" w:type="dxa"/>
            <w:shd w:val="clear" w:color="auto" w:fill="auto"/>
          </w:tcPr>
          <w:p w:rsidR="00AD3E9E" w:rsidRPr="009119B7" w:rsidRDefault="00AD3E9E" w:rsidP="00AD3E9E">
            <w:pPr>
              <w:widowControl w:val="0"/>
              <w:rPr>
                <w:rFonts w:ascii="Times New Roman" w:hAnsi="Times New Roman" w:cs="Times New Roman"/>
                <w:sz w:val="20"/>
                <w:szCs w:val="20"/>
              </w:rPr>
            </w:pPr>
            <w:r w:rsidRPr="009119B7">
              <w:rPr>
                <w:rFonts w:ascii="Times New Roman" w:hAnsi="Times New Roman" w:cs="Times New Roman"/>
                <w:bCs/>
                <w:sz w:val="20"/>
                <w:szCs w:val="20"/>
              </w:rPr>
              <w:t>čl. I bod 6.</w:t>
            </w:r>
          </w:p>
        </w:tc>
        <w:tc>
          <w:tcPr>
            <w:tcW w:w="1276" w:type="dxa"/>
            <w:shd w:val="clear" w:color="auto" w:fill="auto"/>
          </w:tcPr>
          <w:p w:rsidR="00AD3E9E" w:rsidRPr="009119B7" w:rsidRDefault="00AD3E9E" w:rsidP="00AD3E9E">
            <w:pPr>
              <w:widowControl w:val="0"/>
              <w:jc w:val="both"/>
              <w:rPr>
                <w:rFonts w:ascii="Times New Roman" w:hAnsi="Times New Roman" w:cs="Times New Roman"/>
                <w:bCs/>
                <w:sz w:val="20"/>
                <w:szCs w:val="20"/>
              </w:rPr>
            </w:pPr>
          </w:p>
        </w:tc>
        <w:tc>
          <w:tcPr>
            <w:tcW w:w="5803" w:type="dxa"/>
            <w:shd w:val="clear" w:color="auto" w:fill="auto"/>
          </w:tcPr>
          <w:p w:rsidR="00AD3E9E" w:rsidRPr="009119B7" w:rsidRDefault="00AD3E9E" w:rsidP="00AD3E9E">
            <w:pPr>
              <w:tabs>
                <w:tab w:val="left" w:pos="927"/>
              </w:tabs>
              <w:jc w:val="both"/>
              <w:rPr>
                <w:rFonts w:ascii="Times New Roman" w:hAnsi="Times New Roman" w:cs="Times New Roman"/>
                <w:sz w:val="20"/>
                <w:szCs w:val="20"/>
              </w:rPr>
            </w:pPr>
            <w:r w:rsidRPr="009119B7">
              <w:rPr>
                <w:rFonts w:ascii="Times New Roman" w:eastAsiaTheme="minorHAnsi" w:hAnsi="Times New Roman" w:cs="Times New Roman"/>
                <w:sz w:val="20"/>
                <w:szCs w:val="20"/>
              </w:rPr>
              <w:t xml:space="preserve">Doporučujeme upravit název položky A.II.4. v příloze v Tabulce I tak, aby byl v souladu s navrhovaným názvem účtu 022 dle vyhlášky č. 410/2009 Sb. (Samostatné </w:t>
            </w:r>
            <w:r w:rsidRPr="009119B7">
              <w:rPr>
                <w:rFonts w:ascii="Times New Roman" w:eastAsiaTheme="minorHAnsi" w:hAnsi="Times New Roman" w:cs="Times New Roman"/>
                <w:b/>
                <w:sz w:val="20"/>
                <w:szCs w:val="20"/>
              </w:rPr>
              <w:t>hmotné</w:t>
            </w:r>
            <w:r w:rsidRPr="009119B7">
              <w:rPr>
                <w:rFonts w:ascii="Times New Roman" w:eastAsiaTheme="minorHAnsi" w:hAnsi="Times New Roman" w:cs="Times New Roman"/>
                <w:sz w:val="20"/>
                <w:szCs w:val="20"/>
              </w:rPr>
              <w:t xml:space="preserve"> movité věci a soubory </w:t>
            </w:r>
            <w:r w:rsidRPr="009119B7">
              <w:rPr>
                <w:rFonts w:ascii="Times New Roman" w:eastAsiaTheme="minorHAnsi" w:hAnsi="Times New Roman" w:cs="Times New Roman"/>
                <w:b/>
                <w:sz w:val="20"/>
                <w:szCs w:val="20"/>
              </w:rPr>
              <w:t>hmotných</w:t>
            </w:r>
            <w:r w:rsidRPr="009119B7">
              <w:rPr>
                <w:rFonts w:ascii="Times New Roman" w:eastAsiaTheme="minorHAnsi" w:hAnsi="Times New Roman" w:cs="Times New Roman"/>
                <w:sz w:val="20"/>
                <w:szCs w:val="20"/>
              </w:rPr>
              <w:t xml:space="preserve"> movitých věcí).</w:t>
            </w:r>
          </w:p>
        </w:tc>
        <w:tc>
          <w:tcPr>
            <w:tcW w:w="3553" w:type="dxa"/>
            <w:shd w:val="clear" w:color="auto" w:fill="auto"/>
          </w:tcPr>
          <w:p w:rsidR="008B7A9C" w:rsidRPr="009119B7" w:rsidRDefault="008B7A9C" w:rsidP="008B7A9C">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Vyhověno.</w:t>
            </w:r>
          </w:p>
          <w:p w:rsidR="00DD5B81" w:rsidRPr="009119B7" w:rsidRDefault="008B7A9C" w:rsidP="008B7A9C">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Příloha č. 2a upravena.</w:t>
            </w:r>
          </w:p>
        </w:tc>
      </w:tr>
      <w:tr w:rsidR="00AD3E9E" w:rsidRPr="009119B7" w:rsidTr="00640280">
        <w:tc>
          <w:tcPr>
            <w:tcW w:w="817" w:type="dxa"/>
            <w:tcBorders>
              <w:bottom w:val="single" w:sz="4" w:space="0" w:color="auto"/>
            </w:tcBorders>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88.</w:t>
            </w:r>
          </w:p>
        </w:tc>
        <w:tc>
          <w:tcPr>
            <w:tcW w:w="1418" w:type="dxa"/>
            <w:tcBorders>
              <w:bottom w:val="single" w:sz="4" w:space="0" w:color="auto"/>
            </w:tcBorders>
            <w:shd w:val="clear" w:color="auto" w:fill="auto"/>
          </w:tcPr>
          <w:p w:rsidR="00AD3E9E" w:rsidRPr="009119B7" w:rsidRDefault="00AD3E9E" w:rsidP="00AD3E9E">
            <w:pPr>
              <w:pStyle w:val="Nadpis2"/>
              <w:rPr>
                <w:sz w:val="20"/>
              </w:rPr>
            </w:pPr>
            <w:r w:rsidRPr="009119B7">
              <w:rPr>
                <w:sz w:val="20"/>
              </w:rPr>
              <w:t>Nejvyšší kontrolní úřad</w:t>
            </w:r>
          </w:p>
        </w:tc>
        <w:tc>
          <w:tcPr>
            <w:tcW w:w="1275" w:type="dxa"/>
            <w:tcBorders>
              <w:bottom w:val="single" w:sz="4" w:space="0" w:color="auto"/>
            </w:tcBorders>
            <w:shd w:val="clear" w:color="auto" w:fill="auto"/>
          </w:tcPr>
          <w:p w:rsidR="00AD3E9E" w:rsidRPr="009119B7" w:rsidRDefault="00AD3E9E" w:rsidP="00AD3E9E">
            <w:pPr>
              <w:widowControl w:val="0"/>
              <w:rPr>
                <w:rFonts w:ascii="Times New Roman" w:hAnsi="Times New Roman" w:cs="Times New Roman"/>
                <w:sz w:val="20"/>
                <w:szCs w:val="20"/>
              </w:rPr>
            </w:pPr>
            <w:r w:rsidRPr="009119B7">
              <w:rPr>
                <w:rFonts w:ascii="Times New Roman" w:hAnsi="Times New Roman" w:cs="Times New Roman"/>
                <w:bCs/>
                <w:sz w:val="20"/>
                <w:szCs w:val="20"/>
              </w:rPr>
              <w:t>čl. II. bod 3. a 4.</w:t>
            </w:r>
          </w:p>
        </w:tc>
        <w:tc>
          <w:tcPr>
            <w:tcW w:w="1276" w:type="dxa"/>
            <w:tcBorders>
              <w:bottom w:val="single" w:sz="4" w:space="0" w:color="auto"/>
            </w:tcBorders>
            <w:shd w:val="clear" w:color="auto" w:fill="auto"/>
          </w:tcPr>
          <w:p w:rsidR="00AD3E9E" w:rsidRPr="009119B7" w:rsidRDefault="00AD3E9E" w:rsidP="00AD3E9E">
            <w:pPr>
              <w:widowControl w:val="0"/>
              <w:jc w:val="both"/>
              <w:rPr>
                <w:rFonts w:ascii="Times New Roman" w:hAnsi="Times New Roman" w:cs="Times New Roman"/>
                <w:bCs/>
                <w:sz w:val="20"/>
                <w:szCs w:val="20"/>
              </w:rPr>
            </w:pPr>
          </w:p>
        </w:tc>
        <w:tc>
          <w:tcPr>
            <w:tcW w:w="5803" w:type="dxa"/>
            <w:tcBorders>
              <w:bottom w:val="single" w:sz="4" w:space="0" w:color="auto"/>
            </w:tcBorders>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Z uvedených bodů vyplývá, že by navrhované změny ve vykazování údajů o transferech měly být účinné až od 1. ledna 2015. V této souvislosti upozorňujeme, že se o další rok prodlouží stav, kdy jednotlivé vybrané účetní jednotky mohou o typově shodných účetních případech účtovat rozdílnými způsoby, které mají následně zásadní vliv na údaje vykázané v jejich účetních závěrkách. Přetrvávající stav významně omezuje vypovídací schopnost vykazovaných údajů a prakticky znemožňuje jejich použití ve zvažovaném sestavování konsolidovaných účetních výkazů za Českou republiku.</w:t>
            </w:r>
          </w:p>
        </w:tc>
        <w:tc>
          <w:tcPr>
            <w:tcW w:w="3553" w:type="dxa"/>
            <w:tcBorders>
              <w:bottom w:val="single" w:sz="4" w:space="0" w:color="auto"/>
            </w:tcBorders>
            <w:shd w:val="clear" w:color="auto" w:fill="auto"/>
          </w:tcPr>
          <w:p w:rsidR="00AD3E9E" w:rsidRPr="009119B7" w:rsidRDefault="00180D68" w:rsidP="00AD3E9E">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Bere se na vědomí.</w:t>
            </w:r>
          </w:p>
          <w:p w:rsidR="00180D68" w:rsidRPr="009119B7" w:rsidRDefault="00180D68" w:rsidP="00AD3E9E">
            <w:pPr>
              <w:widowControl w:val="0"/>
              <w:jc w:val="both"/>
              <w:rPr>
                <w:rFonts w:ascii="Times New Roman" w:hAnsi="Times New Roman" w:cs="Times New Roman"/>
                <w:bCs/>
                <w:sz w:val="20"/>
                <w:szCs w:val="20"/>
              </w:rPr>
            </w:pPr>
            <w:r w:rsidRPr="009119B7">
              <w:rPr>
                <w:rFonts w:ascii="Times New Roman" w:hAnsi="Times New Roman" w:cs="Times New Roman"/>
                <w:sz w:val="20"/>
                <w:szCs w:val="20"/>
              </w:rPr>
              <w:t>Viz vypořádání téže připomínky uplatněné k návrhu novely vyhlášky č. 410/2009 Sb.</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89.</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 xml:space="preserve">Vzhledem k požadavku EU na transparentní zachycení transferů v účetním systému se požaduje, aby změny na zachycení transferů projednané na jednání mezi zástupci ČSÚ a zástupci MF dne 10. 10. 2013 byly důsledně promítnuty ve výkazech PAP s účinností ode dne 1. ledna 2014. </w:t>
            </w:r>
          </w:p>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 xml:space="preserve">(Pozn. Vazba na připomínky ČSÚ č. j.: 1584/2013-01 k „Návrhu vyhlášky, kterou se mění vyhláška č. 410/2009 Sb., kterou se provádějí některá ustanovení zákona č. 563/1991 Sb., o účetnictví, </w:t>
            </w:r>
            <w:r w:rsidRPr="009119B7">
              <w:rPr>
                <w:rFonts w:ascii="Times New Roman" w:hAnsi="Times New Roman" w:cs="Times New Roman"/>
                <w:bCs/>
                <w:sz w:val="20"/>
                <w:szCs w:val="20"/>
              </w:rPr>
              <w:br/>
              <w:t>ve znění pozdějších předpisů, pro některé vybrané účetní jednotky, ve znění pozdějších předpisů“</w:t>
            </w:r>
            <w:r w:rsidRPr="009119B7">
              <w:rPr>
                <w:rFonts w:ascii="Times New Roman" w:hAnsi="Times New Roman" w:cs="Times New Roman"/>
                <w:bCs/>
                <w:sz w:val="20"/>
                <w:szCs w:val="20"/>
              </w:rPr>
              <w:br/>
              <w:t xml:space="preserve"> č. j. MF-104973/2013/28 ze dne 31. října 2013)</w:t>
            </w:r>
          </w:p>
        </w:tc>
        <w:tc>
          <w:tcPr>
            <w:tcW w:w="3553" w:type="dxa"/>
            <w:shd w:val="clear" w:color="auto" w:fill="auto"/>
          </w:tcPr>
          <w:p w:rsidR="00180D68" w:rsidRPr="009119B7" w:rsidRDefault="00180D68" w:rsidP="00AD3E9E">
            <w:pPr>
              <w:widowControl w:val="0"/>
              <w:jc w:val="both"/>
              <w:rPr>
                <w:rFonts w:ascii="Times New Roman" w:hAnsi="Times New Roman" w:cs="Times New Roman"/>
                <w:b/>
                <w:bCs/>
                <w:sz w:val="20"/>
                <w:szCs w:val="20"/>
              </w:rPr>
            </w:pPr>
            <w:r w:rsidRPr="009119B7">
              <w:rPr>
                <w:rFonts w:ascii="Times New Roman" w:hAnsi="Times New Roman" w:cs="Times New Roman"/>
                <w:b/>
                <w:bCs/>
                <w:sz w:val="20"/>
                <w:szCs w:val="20"/>
              </w:rPr>
              <w:t>Vyhověno částečně.</w:t>
            </w:r>
          </w:p>
          <w:p w:rsidR="00AD3E9E" w:rsidRPr="009119B7" w:rsidRDefault="00180D68"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V souladu s dohodou dosaženou na jednání dne 22. 11. 2013 je navržena účinnost příslušných bodů na 1. ledna 2015. Současně se zintenzivněnou metodickou podporou v průběhu roku 2014 by tím mělo být dosaženo vyšší kvality dat předávaných dotčenými účetními jednotkami a tím k jejich vyšší validitě a využitelnosti, zejména ze strany ČSÚ.</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90.</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Čl. I</w:t>
            </w: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Navrhuje se v souladu s Legislativními pravidly vlády v úvodní větě slovo „zní“ nahradit slovy: „se mění takto“.</w:t>
            </w:r>
          </w:p>
        </w:tc>
        <w:tc>
          <w:tcPr>
            <w:tcW w:w="3553" w:type="dxa"/>
            <w:shd w:val="clear" w:color="auto" w:fill="auto"/>
          </w:tcPr>
          <w:p w:rsidR="00AD3E9E" w:rsidRPr="009119B7" w:rsidRDefault="00E410F8" w:rsidP="00AD3E9E">
            <w:pPr>
              <w:widowControl w:val="0"/>
              <w:jc w:val="both"/>
              <w:rPr>
                <w:rFonts w:ascii="Times New Roman" w:hAnsi="Times New Roman" w:cs="Times New Roman"/>
                <w:b/>
                <w:bCs/>
                <w:sz w:val="20"/>
                <w:szCs w:val="20"/>
              </w:rPr>
            </w:pPr>
            <w:r w:rsidRPr="009119B7">
              <w:rPr>
                <w:rFonts w:ascii="Times New Roman" w:hAnsi="Times New Roman" w:cs="Times New Roman"/>
                <w:b/>
                <w:bCs/>
                <w:sz w:val="20"/>
                <w:szCs w:val="20"/>
              </w:rPr>
              <w:t>Vyhověno.</w:t>
            </w:r>
          </w:p>
          <w:p w:rsidR="00E410F8" w:rsidRPr="009119B7" w:rsidRDefault="00E410F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Text upraven.</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lastRenderedPageBreak/>
              <w:t>91.</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obecně</w:t>
            </w:r>
          </w:p>
        </w:tc>
        <w:tc>
          <w:tcPr>
            <w:tcW w:w="1276" w:type="dxa"/>
            <w:shd w:val="clear" w:color="auto" w:fill="auto"/>
          </w:tcPr>
          <w:p w:rsidR="00AD3E9E" w:rsidRPr="009119B7" w:rsidRDefault="00E75039"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 xml:space="preserve">Zavedením dalších položek a požadavků na další partnery z titulu konsolidace se ztratila konzistence a přehlednost. Upozorňuje se na problematickou definici partnerů P20 , P21 a P22, </w:t>
            </w:r>
            <w:r w:rsidRPr="009119B7">
              <w:rPr>
                <w:rFonts w:ascii="Times New Roman" w:hAnsi="Times New Roman" w:cs="Times New Roman"/>
                <w:bCs/>
                <w:sz w:val="20"/>
                <w:szCs w:val="20"/>
              </w:rPr>
              <w:br/>
              <w:t xml:space="preserve">a to „ Údaje v označených řádcích budou dále sledovány podle jednotlivých partnerů transakce, kteří jsou zahrnuti do konsolidačního celku Česká republika, pokud je tento partner identifikovatelný (viz tabulka Část X).“ V případě, že by mělo dojít ke sjednocení partnerů, je uvedená definice zcela nevyhovující. Zároveň se upozorňuje na problematiku pravidelného zjišťování údajů pro konsolidaci ve čtvrtletní periodicitě, která zatěžuje celý systém. Zavedení požadavku na partnera u „oprávek“ (u hmotného a nehmotného majetku) je nelogické. </w:t>
            </w:r>
          </w:p>
        </w:tc>
        <w:tc>
          <w:tcPr>
            <w:tcW w:w="3553" w:type="dxa"/>
            <w:shd w:val="clear" w:color="auto" w:fill="auto"/>
          </w:tcPr>
          <w:p w:rsidR="0040208D" w:rsidRPr="009119B7" w:rsidRDefault="0040208D" w:rsidP="0040208D">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Vysvětleno.</w:t>
            </w:r>
          </w:p>
          <w:p w:rsidR="00AD3E9E" w:rsidRPr="009119B7" w:rsidRDefault="0040208D" w:rsidP="0040208D">
            <w:pPr>
              <w:widowControl w:val="0"/>
              <w:jc w:val="both"/>
              <w:rPr>
                <w:rFonts w:ascii="Times New Roman" w:hAnsi="Times New Roman" w:cs="Times New Roman"/>
                <w:b/>
                <w:bCs/>
                <w:sz w:val="20"/>
                <w:szCs w:val="20"/>
              </w:rPr>
            </w:pPr>
            <w:r w:rsidRPr="009119B7">
              <w:rPr>
                <w:rFonts w:ascii="Times New Roman" w:hAnsi="Times New Roman" w:cs="Times New Roman"/>
                <w:sz w:val="20"/>
                <w:szCs w:val="20"/>
              </w:rPr>
              <w:t>Vysvětlení uvádění kódů P20, P21, P22 bude uvedeno V Metodice tvorby PAP.</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92.</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Část I. Rozvaha</w:t>
            </w:r>
          </w:p>
        </w:tc>
        <w:tc>
          <w:tcPr>
            <w:tcW w:w="1276" w:type="dxa"/>
            <w:shd w:val="clear" w:color="auto" w:fill="auto"/>
          </w:tcPr>
          <w:p w:rsidR="00AD3E9E" w:rsidRPr="009119B7" w:rsidRDefault="00E75039"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Navrhuje se do názvů v tabulce a do popisů obsahov</w:t>
            </w:r>
            <w:r w:rsidR="00893A65" w:rsidRPr="009119B7">
              <w:rPr>
                <w:rFonts w:ascii="Times New Roman" w:hAnsi="Times New Roman" w:cs="Times New Roman"/>
                <w:bCs/>
                <w:sz w:val="20"/>
                <w:szCs w:val="20"/>
              </w:rPr>
              <w:t xml:space="preserve">ého vymezení doplnit v souladu </w:t>
            </w:r>
            <w:r w:rsidRPr="009119B7">
              <w:rPr>
                <w:rFonts w:ascii="Times New Roman" w:hAnsi="Times New Roman" w:cs="Times New Roman"/>
                <w:bCs/>
                <w:sz w:val="20"/>
                <w:szCs w:val="20"/>
              </w:rPr>
              <w:t>s navrhovanou účtovou osnovou slova „hmotné“ a „hmotných“ u těchto SÚ a analytických položek: 022; 02202202; 03602202; 04202202; 082; 08202202; 164; 16402202; 16802202;</w:t>
            </w:r>
          </w:p>
          <w:p w:rsidR="00AD3E9E" w:rsidRPr="009119B7" w:rsidRDefault="00AD3E9E" w:rsidP="00AD3E9E">
            <w:pPr>
              <w:tabs>
                <w:tab w:val="left" w:pos="927"/>
              </w:tabs>
              <w:jc w:val="both"/>
              <w:rPr>
                <w:rFonts w:ascii="Times New Roman" w:hAnsi="Times New Roman" w:cs="Times New Roman"/>
                <w:bCs/>
                <w:sz w:val="20"/>
                <w:szCs w:val="20"/>
              </w:rPr>
            </w:pPr>
          </w:p>
        </w:tc>
        <w:tc>
          <w:tcPr>
            <w:tcW w:w="3553" w:type="dxa"/>
            <w:shd w:val="clear" w:color="auto" w:fill="auto"/>
          </w:tcPr>
          <w:p w:rsidR="008B7A9C" w:rsidRPr="009119B7" w:rsidRDefault="008B7A9C" w:rsidP="008B7A9C">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Vyhověno.</w:t>
            </w:r>
          </w:p>
          <w:p w:rsidR="0078264A" w:rsidRPr="009119B7" w:rsidRDefault="008B7A9C" w:rsidP="008B7A9C">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Příloha č. 2a upravena.</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93.</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Část I. Rozvaha</w:t>
            </w: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Navrhuje se u SÚ 325 slova „a kaucí“ zrušit, v souladu s navrhovanou účtovou osnovou</w:t>
            </w:r>
          </w:p>
        </w:tc>
        <w:tc>
          <w:tcPr>
            <w:tcW w:w="3553" w:type="dxa"/>
            <w:shd w:val="clear" w:color="auto" w:fill="auto"/>
          </w:tcPr>
          <w:p w:rsidR="008B7A9C" w:rsidRPr="009119B7" w:rsidRDefault="008B7A9C" w:rsidP="008B7A9C">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Vyhověno.</w:t>
            </w:r>
          </w:p>
          <w:p w:rsidR="0078264A" w:rsidRPr="009119B7" w:rsidRDefault="008B7A9C" w:rsidP="008B7A9C">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Příloha č. 2a upravena.</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94.</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Část I. Rozvaha</w:t>
            </w: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
                <w:bCs/>
                <w:sz w:val="20"/>
                <w:szCs w:val="20"/>
              </w:rPr>
              <w:t>v</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Požaduje se nová analytická položka, včetně obsahového vymezení: „34834809 Pohledávky za vybranými místními vládními institucemi – ostatní“ včetně požadavku na sledování tohoto řádku podle partnera aktiva / pasiva označeného symbolem „P10“. Tato úprava je nezbytná z důvodu, že navrhované analytické položky nepostihují veškeré účetní případy, které mohou nastat, a tato analytická položka je již zapracována v Části VI Přílohy č. 2a</w:t>
            </w:r>
          </w:p>
          <w:p w:rsidR="00AD3E9E" w:rsidRPr="009119B7" w:rsidRDefault="00AD3E9E" w:rsidP="00AD3E9E">
            <w:pPr>
              <w:spacing w:before="120"/>
              <w:jc w:val="both"/>
              <w:rPr>
                <w:rFonts w:ascii="Times New Roman" w:hAnsi="Times New Roman" w:cs="Times New Roman"/>
                <w:bCs/>
                <w:sz w:val="20"/>
                <w:szCs w:val="20"/>
              </w:rPr>
            </w:pPr>
            <w:r w:rsidRPr="009119B7">
              <w:rPr>
                <w:rFonts w:ascii="Times New Roman" w:hAnsi="Times New Roman" w:cs="Times New Roman"/>
                <w:bCs/>
                <w:sz w:val="20"/>
                <w:szCs w:val="20"/>
              </w:rPr>
              <w:t>Obsahové vymezení analytické položky 34834809: „Zahrnují se ostatní pohledávky neuvedené na předchozích analytických položkách SÚ 348.“;</w:t>
            </w:r>
          </w:p>
        </w:tc>
        <w:tc>
          <w:tcPr>
            <w:tcW w:w="3553" w:type="dxa"/>
            <w:shd w:val="clear" w:color="auto" w:fill="auto"/>
          </w:tcPr>
          <w:p w:rsidR="0078264A" w:rsidRPr="009119B7" w:rsidRDefault="001777C7" w:rsidP="00AD3E9E">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Vyhověno jinak.</w:t>
            </w:r>
          </w:p>
          <w:p w:rsidR="001777C7" w:rsidRPr="009119B7" w:rsidRDefault="001777C7" w:rsidP="00AD3E9E">
            <w:pPr>
              <w:widowControl w:val="0"/>
              <w:jc w:val="both"/>
              <w:rPr>
                <w:rFonts w:ascii="Times New Roman" w:hAnsi="Times New Roman" w:cs="Times New Roman"/>
                <w:b/>
                <w:bCs/>
                <w:sz w:val="20"/>
                <w:szCs w:val="20"/>
              </w:rPr>
            </w:pPr>
            <w:r w:rsidRPr="009119B7">
              <w:rPr>
                <w:rFonts w:ascii="Times New Roman" w:hAnsi="Times New Roman" w:cs="Times New Roman"/>
                <w:sz w:val="20"/>
                <w:szCs w:val="20"/>
              </w:rPr>
              <w:t>Vzhledem ke kombinaci případů není členění SÚ 348 nezbytné, postačuje pouze informace o partnerovi.</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95.</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Část I. Rozvaha</w:t>
            </w: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Navrhuje se pro SÚ 345, 346, 347, 348, 349, 373, 374, 388, 389, 471 a 472 zrušit analytické členění „- …. investiční dotace s předpokládaným spolufinancováním u EU“ a „…. neinvestiční dotace s předpokládaným spolufinancováním z EU“, a nahradit ho jednou analytickou položkou „- …s předpokládaným spolufinancováním z EU“. V případě, že bude zavedeno, navrhuje se doplnit obsahové vymezení;</w:t>
            </w:r>
          </w:p>
        </w:tc>
        <w:tc>
          <w:tcPr>
            <w:tcW w:w="3553" w:type="dxa"/>
            <w:shd w:val="clear" w:color="auto" w:fill="auto"/>
          </w:tcPr>
          <w:p w:rsidR="00AD3E9E" w:rsidRPr="009119B7" w:rsidRDefault="004901EA" w:rsidP="00AD3E9E">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Vysvětleno.</w:t>
            </w:r>
          </w:p>
          <w:p w:rsidR="004901EA" w:rsidRPr="009119B7" w:rsidRDefault="004901EA"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Vzhledem k předloženým informačním požadavkům ČSÚ by tato úprava mohla znemožnit jejich naplnění.</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96.</w:t>
            </w:r>
          </w:p>
        </w:tc>
        <w:tc>
          <w:tcPr>
            <w:tcW w:w="1418" w:type="dxa"/>
            <w:shd w:val="clear" w:color="auto" w:fill="auto"/>
          </w:tcPr>
          <w:p w:rsidR="00AD3E9E" w:rsidRPr="009119B7" w:rsidRDefault="00AD3E9E" w:rsidP="00AD3E9E">
            <w:pPr>
              <w:pStyle w:val="Nadpis2"/>
              <w:rPr>
                <w:sz w:val="20"/>
              </w:rPr>
            </w:pPr>
            <w:r w:rsidRPr="009119B7">
              <w:rPr>
                <w:sz w:val="20"/>
              </w:rPr>
              <w:t xml:space="preserve">Český </w:t>
            </w:r>
            <w:r w:rsidRPr="009119B7">
              <w:rPr>
                <w:sz w:val="20"/>
              </w:rPr>
              <w:lastRenderedPageBreak/>
              <w:t>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lastRenderedPageBreak/>
              <w:t>Příloha č. 2a</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lastRenderedPageBreak/>
              <w:t>Část I. Rozvaha</w:t>
            </w: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lastRenderedPageBreak/>
              <w:t>ostatní</w:t>
            </w:r>
          </w:p>
        </w:tc>
        <w:tc>
          <w:tcPr>
            <w:tcW w:w="5803" w:type="dxa"/>
            <w:shd w:val="clear" w:color="auto" w:fill="auto"/>
          </w:tcPr>
          <w:p w:rsidR="00AD3E9E" w:rsidRPr="009119B7" w:rsidRDefault="00AD3E9E" w:rsidP="00893A65">
            <w:pPr>
              <w:jc w:val="both"/>
              <w:rPr>
                <w:rFonts w:ascii="Times New Roman" w:hAnsi="Times New Roman" w:cs="Times New Roman"/>
                <w:bCs/>
                <w:sz w:val="20"/>
                <w:szCs w:val="20"/>
              </w:rPr>
            </w:pPr>
            <w:r w:rsidRPr="009119B7">
              <w:rPr>
                <w:rFonts w:ascii="Times New Roman" w:hAnsi="Times New Roman" w:cs="Times New Roman"/>
                <w:bCs/>
                <w:sz w:val="20"/>
                <w:szCs w:val="20"/>
              </w:rPr>
              <w:t>Požaduje se doplnit obsahové vymezení analytick</w:t>
            </w:r>
            <w:r w:rsidR="00893A65" w:rsidRPr="009119B7">
              <w:rPr>
                <w:rFonts w:ascii="Times New Roman" w:hAnsi="Times New Roman" w:cs="Times New Roman"/>
                <w:bCs/>
                <w:sz w:val="20"/>
                <w:szCs w:val="20"/>
              </w:rPr>
              <w:t xml:space="preserve">é položky </w:t>
            </w:r>
            <w:r w:rsidR="00893A65" w:rsidRPr="009119B7">
              <w:rPr>
                <w:rFonts w:ascii="Times New Roman" w:hAnsi="Times New Roman" w:cs="Times New Roman"/>
                <w:bCs/>
                <w:sz w:val="20"/>
                <w:szCs w:val="20"/>
              </w:rPr>
              <w:lastRenderedPageBreak/>
              <w:t xml:space="preserve">40340309 – Transfery </w:t>
            </w:r>
            <w:r w:rsidRPr="009119B7">
              <w:rPr>
                <w:rFonts w:ascii="Times New Roman" w:hAnsi="Times New Roman" w:cs="Times New Roman"/>
                <w:bCs/>
                <w:sz w:val="20"/>
                <w:szCs w:val="20"/>
              </w:rPr>
              <w:t>na pořízení dlouhodobého majetku - ostatní.;</w:t>
            </w:r>
          </w:p>
        </w:tc>
        <w:tc>
          <w:tcPr>
            <w:tcW w:w="3553" w:type="dxa"/>
            <w:shd w:val="clear" w:color="auto" w:fill="auto"/>
          </w:tcPr>
          <w:p w:rsidR="00AD3E9E" w:rsidRPr="009119B7" w:rsidRDefault="00545BE6" w:rsidP="00AD3E9E">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lastRenderedPageBreak/>
              <w:t>Vyhověno.</w:t>
            </w:r>
          </w:p>
          <w:p w:rsidR="00545BE6" w:rsidRPr="009119B7" w:rsidRDefault="00545BE6"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lastRenderedPageBreak/>
              <w:t>Příloha č. 2a upravena.</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lastRenderedPageBreak/>
              <w:t>97.</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Část I. Rozvaha</w:t>
            </w: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893A65">
            <w:pPr>
              <w:jc w:val="both"/>
              <w:rPr>
                <w:rFonts w:ascii="Times New Roman" w:hAnsi="Times New Roman" w:cs="Times New Roman"/>
                <w:bCs/>
                <w:sz w:val="20"/>
                <w:szCs w:val="20"/>
              </w:rPr>
            </w:pPr>
            <w:r w:rsidRPr="009119B7">
              <w:rPr>
                <w:rFonts w:ascii="Times New Roman" w:hAnsi="Times New Roman" w:cs="Times New Roman"/>
                <w:bCs/>
                <w:sz w:val="20"/>
                <w:szCs w:val="20"/>
              </w:rPr>
              <w:t>Požaduje se neúčtovat zprostředkování transferů (EU toků) saldem – na syntetických účtech 375, 376, ale zavedení samostatných účtů pro zachy</w:t>
            </w:r>
            <w:r w:rsidR="00893A65" w:rsidRPr="009119B7">
              <w:rPr>
                <w:rFonts w:ascii="Times New Roman" w:hAnsi="Times New Roman" w:cs="Times New Roman"/>
                <w:bCs/>
                <w:sz w:val="20"/>
                <w:szCs w:val="20"/>
              </w:rPr>
              <w:t xml:space="preserve">cení transferů jako pohledávek </w:t>
            </w:r>
            <w:r w:rsidRPr="009119B7">
              <w:rPr>
                <w:rFonts w:ascii="Times New Roman" w:hAnsi="Times New Roman" w:cs="Times New Roman"/>
                <w:bCs/>
                <w:sz w:val="20"/>
                <w:szCs w:val="20"/>
              </w:rPr>
              <w:t xml:space="preserve">a závazků, </w:t>
            </w:r>
            <w:proofErr w:type="spellStart"/>
            <w:r w:rsidRPr="009119B7">
              <w:rPr>
                <w:rFonts w:ascii="Times New Roman" w:hAnsi="Times New Roman" w:cs="Times New Roman"/>
                <w:bCs/>
                <w:sz w:val="20"/>
                <w:szCs w:val="20"/>
              </w:rPr>
              <w:t>tj</w:t>
            </w:r>
            <w:proofErr w:type="spellEnd"/>
            <w:r w:rsidRPr="009119B7">
              <w:rPr>
                <w:rFonts w:ascii="Times New Roman" w:hAnsi="Times New Roman" w:cs="Times New Roman"/>
                <w:bCs/>
                <w:sz w:val="20"/>
                <w:szCs w:val="20"/>
              </w:rPr>
              <w:t xml:space="preserve"> na straně aktiv a pasiv (viz rovněž požadavek ve vyjádření ČSÚ                            </w:t>
            </w:r>
            <w:r w:rsidR="00893A65" w:rsidRPr="009119B7">
              <w:rPr>
                <w:rFonts w:ascii="Times New Roman" w:hAnsi="Times New Roman" w:cs="Times New Roman"/>
                <w:bCs/>
                <w:sz w:val="20"/>
                <w:szCs w:val="20"/>
              </w:rPr>
              <w:t xml:space="preserve">   č.j.: 1584/2013-01 k </w:t>
            </w:r>
            <w:proofErr w:type="spellStart"/>
            <w:r w:rsidR="00893A65" w:rsidRPr="009119B7">
              <w:rPr>
                <w:rFonts w:ascii="Times New Roman" w:hAnsi="Times New Roman" w:cs="Times New Roman"/>
                <w:bCs/>
                <w:sz w:val="20"/>
                <w:szCs w:val="20"/>
              </w:rPr>
              <w:t>návrhu</w:t>
            </w:r>
            <w:r w:rsidRPr="009119B7">
              <w:rPr>
                <w:rFonts w:ascii="Times New Roman" w:hAnsi="Times New Roman" w:cs="Times New Roman"/>
                <w:bCs/>
                <w:sz w:val="20"/>
                <w:szCs w:val="20"/>
              </w:rPr>
              <w:t>novely</w:t>
            </w:r>
            <w:proofErr w:type="spellEnd"/>
            <w:r w:rsidR="00893A65" w:rsidRPr="009119B7">
              <w:rPr>
                <w:rFonts w:ascii="Times New Roman" w:hAnsi="Times New Roman" w:cs="Times New Roman"/>
                <w:bCs/>
                <w:sz w:val="20"/>
                <w:szCs w:val="20"/>
              </w:rPr>
              <w:t xml:space="preserve"> vyhlášky č.410/2009 Sb., č. j.</w:t>
            </w:r>
            <w:r w:rsidRPr="009119B7">
              <w:rPr>
                <w:rFonts w:ascii="Times New Roman" w:hAnsi="Times New Roman" w:cs="Times New Roman"/>
                <w:bCs/>
                <w:sz w:val="20"/>
                <w:szCs w:val="20"/>
              </w:rPr>
              <w:t>MF-104973/2013/28            z 31. 10. 2013.);</w:t>
            </w:r>
          </w:p>
        </w:tc>
        <w:tc>
          <w:tcPr>
            <w:tcW w:w="3553" w:type="dxa"/>
            <w:shd w:val="clear" w:color="auto" w:fill="auto"/>
          </w:tcPr>
          <w:p w:rsidR="00545BE6" w:rsidRPr="009119B7" w:rsidRDefault="00545BE6" w:rsidP="00545BE6">
            <w:pPr>
              <w:rPr>
                <w:rFonts w:ascii="Times New Roman" w:hAnsi="Times New Roman" w:cs="Times New Roman"/>
                <w:b/>
                <w:bCs/>
                <w:sz w:val="20"/>
                <w:szCs w:val="20"/>
              </w:rPr>
            </w:pPr>
            <w:r w:rsidRPr="009119B7">
              <w:rPr>
                <w:rFonts w:ascii="Times New Roman" w:hAnsi="Times New Roman" w:cs="Times New Roman"/>
                <w:b/>
                <w:bCs/>
                <w:sz w:val="20"/>
                <w:szCs w:val="20"/>
              </w:rPr>
              <w:t>Vyhověno jinak.</w:t>
            </w:r>
          </w:p>
          <w:p w:rsidR="00AD3E9E" w:rsidRPr="009119B7" w:rsidRDefault="00545BE6" w:rsidP="00545BE6">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V souladu s dohodou dosaženou na jednání dne 22. 11. 2013 bude příslušná nezbytná informace pro ČSÚ zajištěna jiným způsobem, a to doplněním potřebného členění do Pomocného analytického přehledu. Navržený způsob by totiž vedl k neúměrnému navýšení bilanční sumy téměř všech významných vybraných účetních jednotek, a tím také ke zkreslení dalších dílčích informací (například pro účely struktury pohledávek či struktury dluhů) o finanční situaci těchto subjektů.</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98.</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Část I. Rozvaha</w:t>
            </w: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Požaduje se vypustit návrh na partnera (P10) u AÚ 41441401;</w:t>
            </w:r>
          </w:p>
          <w:p w:rsidR="00AD3E9E" w:rsidRPr="009119B7" w:rsidRDefault="00AD3E9E" w:rsidP="00AD3E9E">
            <w:pPr>
              <w:tabs>
                <w:tab w:val="left" w:pos="927"/>
              </w:tabs>
              <w:jc w:val="both"/>
              <w:rPr>
                <w:rFonts w:ascii="Times New Roman" w:hAnsi="Times New Roman" w:cs="Times New Roman"/>
                <w:bCs/>
                <w:sz w:val="20"/>
                <w:szCs w:val="20"/>
              </w:rPr>
            </w:pPr>
          </w:p>
        </w:tc>
        <w:tc>
          <w:tcPr>
            <w:tcW w:w="3553" w:type="dxa"/>
            <w:shd w:val="clear" w:color="auto" w:fill="auto"/>
          </w:tcPr>
          <w:p w:rsidR="009B22F5" w:rsidRPr="009119B7" w:rsidRDefault="009B22F5" w:rsidP="009B22F5">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Vyhověno.</w:t>
            </w:r>
          </w:p>
          <w:p w:rsidR="00134EA9" w:rsidRPr="009119B7" w:rsidRDefault="009B22F5" w:rsidP="009B22F5">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Příloha č. 2a upravena.</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99.</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Část I. Rozvaha</w:t>
            </w: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Požaduje se u AÚ 19939709 změnu partnera P.20 na P.</w:t>
            </w:r>
            <w:r w:rsidR="00893A65" w:rsidRPr="009119B7">
              <w:rPr>
                <w:rFonts w:ascii="Times New Roman" w:hAnsi="Times New Roman" w:cs="Times New Roman"/>
                <w:bCs/>
                <w:sz w:val="20"/>
                <w:szCs w:val="20"/>
              </w:rPr>
              <w:t xml:space="preserve">10 (v souladu s předchozími AÚ </w:t>
            </w:r>
            <w:r w:rsidRPr="009119B7">
              <w:rPr>
                <w:rFonts w:ascii="Times New Roman" w:hAnsi="Times New Roman" w:cs="Times New Roman"/>
                <w:bCs/>
                <w:sz w:val="20"/>
                <w:szCs w:val="20"/>
              </w:rPr>
              <w:t xml:space="preserve">pod SÚ 199). </w:t>
            </w:r>
          </w:p>
          <w:p w:rsidR="00AD3E9E" w:rsidRPr="009119B7" w:rsidRDefault="00AD3E9E" w:rsidP="00AD3E9E">
            <w:pPr>
              <w:jc w:val="both"/>
              <w:rPr>
                <w:rFonts w:ascii="Times New Roman" w:hAnsi="Times New Roman" w:cs="Times New Roman"/>
                <w:bCs/>
                <w:sz w:val="20"/>
                <w:szCs w:val="20"/>
              </w:rPr>
            </w:pPr>
          </w:p>
        </w:tc>
        <w:tc>
          <w:tcPr>
            <w:tcW w:w="3553" w:type="dxa"/>
            <w:shd w:val="clear" w:color="auto" w:fill="auto"/>
          </w:tcPr>
          <w:p w:rsidR="009B22F5" w:rsidRPr="009119B7" w:rsidRDefault="009B22F5" w:rsidP="009B22F5">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Vyhověno.</w:t>
            </w:r>
          </w:p>
          <w:p w:rsidR="0078264A" w:rsidRPr="009119B7" w:rsidRDefault="009B22F5" w:rsidP="009B22F5">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Příloha č. 2a upravena.</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100.</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Část II. Náklady</w:t>
            </w:r>
          </w:p>
          <w:p w:rsidR="00AD3E9E" w:rsidRPr="009119B7" w:rsidRDefault="00AD3E9E" w:rsidP="00AD3E9E">
            <w:pPr>
              <w:rPr>
                <w:rFonts w:ascii="Times New Roman" w:hAnsi="Times New Roman" w:cs="Times New Roman"/>
                <w:sz w:val="20"/>
                <w:szCs w:val="20"/>
              </w:rPr>
            </w:pP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Požaduje se zrušit analytické položky 57109 a 57110, včetně obsahového vymezení. Podle sdělení MF by mělo jít pouze o národní prostředky na financování projektů s EU spoluúčastí. Tyto prostředky jsou zachyceny již na AÚ 57101 a 57102. Mohlo by dojít k duplicitám.</w:t>
            </w:r>
          </w:p>
        </w:tc>
        <w:tc>
          <w:tcPr>
            <w:tcW w:w="3553" w:type="dxa"/>
            <w:shd w:val="clear" w:color="auto" w:fill="auto"/>
          </w:tcPr>
          <w:p w:rsidR="00545BE6" w:rsidRPr="009119B7" w:rsidRDefault="00545BE6" w:rsidP="00545BE6">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Vyhověno.</w:t>
            </w:r>
          </w:p>
          <w:p w:rsidR="00AD3E9E" w:rsidRPr="009119B7" w:rsidRDefault="00545BE6" w:rsidP="00545BE6">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Příloha č. 2a upravena.</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101.</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Část III. Výnosy</w:t>
            </w: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ostatní</w:t>
            </w:r>
          </w:p>
        </w:tc>
        <w:tc>
          <w:tcPr>
            <w:tcW w:w="5803" w:type="dxa"/>
            <w:shd w:val="clear" w:color="auto" w:fill="auto"/>
          </w:tcPr>
          <w:p w:rsidR="00881F06"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 xml:space="preserve">Požaduje se zrušit položku 60303 - Výnosy z pronájmu – bytů ve vlastnictví – platby za služby </w:t>
            </w:r>
            <w:r w:rsidRPr="009119B7">
              <w:rPr>
                <w:rFonts w:ascii="Times New Roman" w:hAnsi="Times New Roman" w:cs="Times New Roman"/>
                <w:bCs/>
                <w:sz w:val="20"/>
                <w:szCs w:val="20"/>
              </w:rPr>
              <w:br/>
            </w:r>
          </w:p>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 xml:space="preserve">a doplnit text obsahového vymezení položky 60302, a to: „Zahrnují se výnosy…nelze oddělit). Čisté nájemné nezahrnuje……..společných prostor apod., které se zachycují na analytické položce 60303,. Byt je soubor místností ………. studentské koleje atd. </w:t>
            </w:r>
          </w:p>
        </w:tc>
        <w:tc>
          <w:tcPr>
            <w:tcW w:w="3553" w:type="dxa"/>
            <w:shd w:val="clear" w:color="auto" w:fill="auto"/>
          </w:tcPr>
          <w:p w:rsidR="00881F06" w:rsidRPr="009119B7" w:rsidRDefault="00881F06" w:rsidP="00881F06">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Vyhověno.</w:t>
            </w:r>
          </w:p>
          <w:p w:rsidR="0078264A" w:rsidRPr="009119B7" w:rsidRDefault="00881F06" w:rsidP="00881F06">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Příloha č. 2a upravena.</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102.</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Část IV</w:t>
            </w: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Navrhuje se do názvů v tabulce doplnit v souladu s navrhovanou účtovou osnovou slova „hmotné“ a „hmotných“ u těchto SÚ a analytických položek: 022; 02202202; 04202202.</w:t>
            </w:r>
          </w:p>
        </w:tc>
        <w:tc>
          <w:tcPr>
            <w:tcW w:w="3553" w:type="dxa"/>
            <w:shd w:val="clear" w:color="auto" w:fill="auto"/>
          </w:tcPr>
          <w:p w:rsidR="008B7A9C" w:rsidRPr="009119B7" w:rsidRDefault="008B7A9C" w:rsidP="008B7A9C">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Vyhověno.</w:t>
            </w:r>
          </w:p>
          <w:p w:rsidR="0078264A" w:rsidRPr="009119B7" w:rsidRDefault="008B7A9C" w:rsidP="008B7A9C">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Příloha č. 2a upravena.</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103.</w:t>
            </w:r>
          </w:p>
        </w:tc>
        <w:tc>
          <w:tcPr>
            <w:tcW w:w="1418" w:type="dxa"/>
            <w:shd w:val="clear" w:color="auto" w:fill="auto"/>
          </w:tcPr>
          <w:p w:rsidR="00AD3E9E" w:rsidRPr="009119B7" w:rsidRDefault="00AD3E9E" w:rsidP="00AD3E9E">
            <w:pPr>
              <w:pStyle w:val="Nadpis2"/>
              <w:rPr>
                <w:sz w:val="20"/>
              </w:rPr>
            </w:pPr>
            <w:r w:rsidRPr="009119B7">
              <w:rPr>
                <w:sz w:val="20"/>
              </w:rPr>
              <w:t xml:space="preserve">Český </w:t>
            </w:r>
            <w:r w:rsidRPr="009119B7">
              <w:rPr>
                <w:sz w:val="20"/>
              </w:rPr>
              <w:lastRenderedPageBreak/>
              <w:t>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lastRenderedPageBreak/>
              <w:t>Příloha č. 2a</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lastRenderedPageBreak/>
              <w:t>Části VI</w:t>
            </w: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lastRenderedPageBreak/>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 xml:space="preserve">V návaznosti na úpravy v Části I. Rozvaha se požaduje pro SÚ 346, </w:t>
            </w:r>
            <w:r w:rsidRPr="009119B7">
              <w:rPr>
                <w:rFonts w:ascii="Times New Roman" w:hAnsi="Times New Roman" w:cs="Times New Roman"/>
                <w:bCs/>
                <w:sz w:val="20"/>
                <w:szCs w:val="20"/>
              </w:rPr>
              <w:lastRenderedPageBreak/>
              <w:t>348, 373, a 471 zrušit analytické členění „- …. investiční dotace s předpokládaným spolufinancov</w:t>
            </w:r>
            <w:r w:rsidR="00893A65" w:rsidRPr="009119B7">
              <w:rPr>
                <w:rFonts w:ascii="Times New Roman" w:hAnsi="Times New Roman" w:cs="Times New Roman"/>
                <w:bCs/>
                <w:sz w:val="20"/>
                <w:szCs w:val="20"/>
              </w:rPr>
              <w:t xml:space="preserve">áním u EU“ a „…. </w:t>
            </w:r>
            <w:r w:rsidRPr="009119B7">
              <w:rPr>
                <w:rFonts w:ascii="Times New Roman" w:hAnsi="Times New Roman" w:cs="Times New Roman"/>
                <w:bCs/>
                <w:sz w:val="20"/>
                <w:szCs w:val="20"/>
              </w:rPr>
              <w:t>neinvestiční dotace s předpokládaným spolufinancováním z EU“, a nahradit jednou analytickou položkou „- …s předpokládaným spolufinancováním z EU“;</w:t>
            </w:r>
          </w:p>
        </w:tc>
        <w:tc>
          <w:tcPr>
            <w:tcW w:w="3553" w:type="dxa"/>
            <w:shd w:val="clear" w:color="auto" w:fill="auto"/>
          </w:tcPr>
          <w:p w:rsidR="00545BE6" w:rsidRPr="009119B7" w:rsidRDefault="00545BE6" w:rsidP="00545BE6">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lastRenderedPageBreak/>
              <w:t>Vysvětleno.</w:t>
            </w:r>
          </w:p>
          <w:p w:rsidR="00AD3E9E" w:rsidRPr="009119B7" w:rsidRDefault="00545BE6" w:rsidP="00545BE6">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lastRenderedPageBreak/>
              <w:t>Vzhledem k předloženým informačním požadavkům ČSÚ by tato úprava mohla znemožnit jejich naplnění.</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lastRenderedPageBreak/>
              <w:t>104.</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Části VI</w:t>
            </w: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 xml:space="preserve">Požaduje se neúčtovat zprostředkování transferů (EU toků) saldem – na syntetických účtech 375, 376, a návaznosti na to, uvádět v části VI. Výkazu PAP  pouze pohledávky. </w:t>
            </w:r>
          </w:p>
          <w:p w:rsidR="00AD3E9E" w:rsidRPr="009119B7" w:rsidRDefault="00AD3E9E" w:rsidP="00AD3E9E">
            <w:pPr>
              <w:jc w:val="both"/>
              <w:rPr>
                <w:rFonts w:ascii="Times New Roman" w:hAnsi="Times New Roman" w:cs="Times New Roman"/>
                <w:bCs/>
                <w:sz w:val="20"/>
                <w:szCs w:val="20"/>
              </w:rPr>
            </w:pPr>
          </w:p>
        </w:tc>
        <w:tc>
          <w:tcPr>
            <w:tcW w:w="3553" w:type="dxa"/>
            <w:shd w:val="clear" w:color="auto" w:fill="auto"/>
          </w:tcPr>
          <w:p w:rsidR="00545BE6" w:rsidRPr="009119B7" w:rsidRDefault="00545BE6" w:rsidP="00545BE6">
            <w:pPr>
              <w:rPr>
                <w:rFonts w:ascii="Times New Roman" w:hAnsi="Times New Roman" w:cs="Times New Roman"/>
                <w:b/>
                <w:bCs/>
                <w:sz w:val="20"/>
                <w:szCs w:val="20"/>
              </w:rPr>
            </w:pPr>
            <w:r w:rsidRPr="009119B7">
              <w:rPr>
                <w:rFonts w:ascii="Times New Roman" w:hAnsi="Times New Roman" w:cs="Times New Roman"/>
                <w:b/>
                <w:bCs/>
                <w:sz w:val="20"/>
                <w:szCs w:val="20"/>
              </w:rPr>
              <w:t>Vyhověno jinak.</w:t>
            </w:r>
          </w:p>
          <w:p w:rsidR="00AD3E9E" w:rsidRPr="009119B7" w:rsidRDefault="00545BE6" w:rsidP="00545BE6">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V souladu s dohodou dosaženou na jednání dne 22. 11. 2013 bude příslušná nezbytná informace pro ČSÚ zajištěna jiným způsobem, a to doplněním potřebného členění do Pomocného analytického přehledu. Navržený způsob by totiž vedl k neúměrnému navýšení bilanční sumy téměř všech významných vybraných účetních jednotek, a tím také ke zkreslení dalších dílčích informací (například pro účely struktury pohledávek či struktury dluhů) o finanční situaci těchto subjektů.</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105.</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Části VII</w:t>
            </w: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V návaznosti na úpravy v Části I. Rozvaha se požaduje pro SÚ 345, 347, 349, 374, a 472 zrušit analytické členění „- …. investiční dotace s předpokládaným spolufinancováním</w:t>
            </w:r>
            <w:r w:rsidR="00893A65" w:rsidRPr="009119B7">
              <w:rPr>
                <w:rFonts w:ascii="Times New Roman" w:hAnsi="Times New Roman" w:cs="Times New Roman"/>
                <w:bCs/>
                <w:sz w:val="20"/>
                <w:szCs w:val="20"/>
              </w:rPr>
              <w:t xml:space="preserve"> </w:t>
            </w:r>
            <w:r w:rsidRPr="009119B7">
              <w:rPr>
                <w:rFonts w:ascii="Times New Roman" w:hAnsi="Times New Roman" w:cs="Times New Roman"/>
                <w:bCs/>
                <w:sz w:val="20"/>
                <w:szCs w:val="20"/>
              </w:rPr>
              <w:t>u EU“ a „…. neinvestiční dotace s předpokládaným spolufinancováním z EU“, a nahradit jednou analytickou položkou „- …s předpokládaným spolufinancováním z EU“;</w:t>
            </w:r>
          </w:p>
        </w:tc>
        <w:tc>
          <w:tcPr>
            <w:tcW w:w="3553" w:type="dxa"/>
            <w:shd w:val="clear" w:color="auto" w:fill="auto"/>
          </w:tcPr>
          <w:p w:rsidR="00545BE6" w:rsidRPr="009119B7" w:rsidRDefault="00545BE6" w:rsidP="00545BE6">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Vysvětleno.</w:t>
            </w:r>
          </w:p>
          <w:p w:rsidR="00AD3E9E" w:rsidRPr="009119B7" w:rsidRDefault="00545BE6" w:rsidP="00545BE6">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Vzhledem k předloženým informačním požadavkům ČSÚ by tato úprava mohla znemožnit jejich naplnění.</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106.</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Části VII</w:t>
            </w: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 xml:space="preserve">Požaduje se neúčtovat zprostředkování transferů (EU toků) saldem – na syntetických účtech 375, 376, a návaznosti na to, uvádět v části VII. Výkazu PAP pouze závazky. </w:t>
            </w:r>
          </w:p>
          <w:p w:rsidR="00AD3E9E" w:rsidRPr="009119B7" w:rsidRDefault="00AD3E9E" w:rsidP="00AD3E9E">
            <w:pPr>
              <w:jc w:val="both"/>
              <w:rPr>
                <w:rFonts w:ascii="Times New Roman" w:hAnsi="Times New Roman" w:cs="Times New Roman"/>
                <w:bCs/>
                <w:sz w:val="20"/>
                <w:szCs w:val="20"/>
              </w:rPr>
            </w:pPr>
          </w:p>
        </w:tc>
        <w:tc>
          <w:tcPr>
            <w:tcW w:w="3553" w:type="dxa"/>
            <w:shd w:val="clear" w:color="auto" w:fill="auto"/>
          </w:tcPr>
          <w:p w:rsidR="00545BE6" w:rsidRPr="009119B7" w:rsidRDefault="00545BE6" w:rsidP="00545BE6">
            <w:pPr>
              <w:rPr>
                <w:rFonts w:ascii="Times New Roman" w:hAnsi="Times New Roman" w:cs="Times New Roman"/>
                <w:b/>
                <w:bCs/>
                <w:sz w:val="20"/>
                <w:szCs w:val="20"/>
              </w:rPr>
            </w:pPr>
            <w:r w:rsidRPr="009119B7">
              <w:rPr>
                <w:rFonts w:ascii="Times New Roman" w:hAnsi="Times New Roman" w:cs="Times New Roman"/>
                <w:b/>
                <w:bCs/>
                <w:sz w:val="20"/>
                <w:szCs w:val="20"/>
              </w:rPr>
              <w:t>Vyhověno jinak.</w:t>
            </w:r>
          </w:p>
          <w:p w:rsidR="00AD3E9E" w:rsidRPr="009119B7" w:rsidRDefault="00545BE6" w:rsidP="00545BE6">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V souladu s dohodou dosaženou na jednání dne 22. 11. 2013 bude příslušná nezbytná informace pro ČSÚ zajištěna jiným způsobem, a to doplněním potřebného členění do Pomocného analytického přehledu. Navržený způsob by totiž vedl k neúměrnému navýšení bilanční sumy téměř všech významných vybraných účetních jednotek, a tím také ke zkreslení dalších dílčích informací (například pro účely struktury pohledávek či struktury dluhů) o finanční situaci těchto subjektů.</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lastRenderedPageBreak/>
              <w:t>107.</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Části IX</w:t>
            </w: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Požaduje se doplnit účet 414 Rezervní fond včetně analytických položek (tj. řádky):</w:t>
            </w:r>
          </w:p>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41441401 -  Rezervní fond z ostatních titulů – finanční dary (s partnerem P.12 ve sloupci 959);</w:t>
            </w:r>
          </w:p>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41441409 -  Rezervní fond z ostatních titulů -  ostatní.</w:t>
            </w:r>
          </w:p>
          <w:p w:rsidR="00AD3E9E" w:rsidRPr="009119B7" w:rsidRDefault="00AD3E9E" w:rsidP="00AD3E9E">
            <w:pPr>
              <w:jc w:val="both"/>
              <w:rPr>
                <w:rFonts w:ascii="Times New Roman" w:hAnsi="Times New Roman" w:cs="Times New Roman"/>
                <w:bCs/>
                <w:sz w:val="20"/>
                <w:szCs w:val="20"/>
              </w:rPr>
            </w:pPr>
          </w:p>
        </w:tc>
        <w:tc>
          <w:tcPr>
            <w:tcW w:w="3553" w:type="dxa"/>
            <w:shd w:val="clear" w:color="auto" w:fill="auto"/>
          </w:tcPr>
          <w:p w:rsidR="009B22F5" w:rsidRPr="009119B7" w:rsidRDefault="009B22F5" w:rsidP="009B22F5">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Vyhověno.</w:t>
            </w:r>
          </w:p>
          <w:p w:rsidR="0078264A" w:rsidRPr="009119B7" w:rsidRDefault="009B22F5" w:rsidP="009B22F5">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Příloha č. 2a upravena.</w:t>
            </w:r>
          </w:p>
        </w:tc>
      </w:tr>
      <w:tr w:rsidR="00AD3E9E" w:rsidRPr="009119B7" w:rsidTr="0001599B">
        <w:tc>
          <w:tcPr>
            <w:tcW w:w="817" w:type="dxa"/>
            <w:shd w:val="clear" w:color="auto" w:fill="auto"/>
          </w:tcPr>
          <w:p w:rsidR="007E6F78" w:rsidRPr="009119B7" w:rsidRDefault="007E6F78" w:rsidP="00AD3E9E">
            <w:pPr>
              <w:widowControl w:val="0"/>
              <w:jc w:val="both"/>
              <w:rPr>
                <w:rFonts w:ascii="Times New Roman" w:hAnsi="Times New Roman" w:cs="Times New Roman"/>
                <w:bCs/>
                <w:sz w:val="20"/>
                <w:szCs w:val="20"/>
              </w:rPr>
            </w:pPr>
          </w:p>
          <w:p w:rsidR="007E6F78" w:rsidRPr="009119B7" w:rsidRDefault="007E6F78" w:rsidP="007E6F78">
            <w:pPr>
              <w:rPr>
                <w:rFonts w:ascii="Times New Roman" w:hAnsi="Times New Roman" w:cs="Times New Roman"/>
                <w:sz w:val="20"/>
                <w:szCs w:val="20"/>
              </w:rPr>
            </w:pPr>
          </w:p>
          <w:p w:rsidR="007E6F78" w:rsidRPr="009119B7" w:rsidRDefault="007E6F78" w:rsidP="007E6F78">
            <w:pPr>
              <w:rPr>
                <w:rFonts w:ascii="Times New Roman" w:hAnsi="Times New Roman" w:cs="Times New Roman"/>
                <w:sz w:val="20"/>
                <w:szCs w:val="20"/>
              </w:rPr>
            </w:pPr>
          </w:p>
          <w:p w:rsidR="007E6F78" w:rsidRPr="009119B7" w:rsidRDefault="007E6F78" w:rsidP="007E6F78">
            <w:pPr>
              <w:rPr>
                <w:rFonts w:ascii="Times New Roman" w:hAnsi="Times New Roman" w:cs="Times New Roman"/>
                <w:sz w:val="20"/>
                <w:szCs w:val="20"/>
              </w:rPr>
            </w:pPr>
          </w:p>
          <w:p w:rsidR="00AD3E9E" w:rsidRPr="009119B7" w:rsidRDefault="007E6F78" w:rsidP="007E6F78">
            <w:pPr>
              <w:rPr>
                <w:rFonts w:ascii="Times New Roman" w:hAnsi="Times New Roman" w:cs="Times New Roman"/>
                <w:sz w:val="20"/>
                <w:szCs w:val="20"/>
              </w:rPr>
            </w:pPr>
            <w:r w:rsidRPr="009119B7">
              <w:rPr>
                <w:rFonts w:ascii="Times New Roman" w:hAnsi="Times New Roman" w:cs="Times New Roman"/>
                <w:sz w:val="20"/>
                <w:szCs w:val="20"/>
              </w:rPr>
              <w:t>108.</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2a</w:t>
            </w:r>
          </w:p>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Části XII</w:t>
            </w:r>
          </w:p>
        </w:tc>
        <w:tc>
          <w:tcPr>
            <w:tcW w:w="1276" w:type="dxa"/>
            <w:shd w:val="clear" w:color="auto" w:fill="auto"/>
          </w:tcPr>
          <w:p w:rsidR="00AD3E9E" w:rsidRPr="009119B7" w:rsidRDefault="00E75039" w:rsidP="00AD3E9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 xml:space="preserve">Navrhuje se číslo „40340302“ nahradit číslem „40340309“, a to s ohledem na skutečnost, že v Části IX. Přílohy č. 2a je posledním položkou je 40340309. </w:t>
            </w:r>
          </w:p>
          <w:p w:rsidR="00AD3E9E" w:rsidRPr="009119B7" w:rsidRDefault="00AD3E9E" w:rsidP="00AD3E9E">
            <w:pPr>
              <w:jc w:val="both"/>
              <w:rPr>
                <w:rFonts w:ascii="Times New Roman" w:hAnsi="Times New Roman" w:cs="Times New Roman"/>
                <w:bCs/>
                <w:sz w:val="20"/>
                <w:szCs w:val="20"/>
              </w:rPr>
            </w:pPr>
          </w:p>
          <w:p w:rsidR="00AD3E9E" w:rsidRPr="009119B7" w:rsidRDefault="00AD3E9E" w:rsidP="00AD3E9E">
            <w:pPr>
              <w:jc w:val="both"/>
              <w:rPr>
                <w:rFonts w:ascii="Times New Roman" w:hAnsi="Times New Roman" w:cs="Times New Roman"/>
                <w:bCs/>
                <w:sz w:val="20"/>
                <w:szCs w:val="20"/>
              </w:rPr>
            </w:pPr>
          </w:p>
          <w:p w:rsidR="00AD3E9E" w:rsidRPr="009119B7" w:rsidRDefault="00AD3E9E" w:rsidP="00AD3E9E">
            <w:pPr>
              <w:jc w:val="both"/>
              <w:rPr>
                <w:rFonts w:ascii="Times New Roman" w:hAnsi="Times New Roman" w:cs="Times New Roman"/>
                <w:bCs/>
                <w:sz w:val="20"/>
                <w:szCs w:val="20"/>
              </w:rPr>
            </w:pPr>
          </w:p>
          <w:p w:rsidR="00AD3E9E" w:rsidRPr="009119B7" w:rsidRDefault="00AD3E9E" w:rsidP="00AD3E9E">
            <w:pPr>
              <w:jc w:val="both"/>
              <w:rPr>
                <w:rFonts w:ascii="Times New Roman" w:hAnsi="Times New Roman" w:cs="Times New Roman"/>
                <w:bCs/>
                <w:sz w:val="20"/>
                <w:szCs w:val="20"/>
              </w:rPr>
            </w:pPr>
          </w:p>
          <w:p w:rsidR="00AD3E9E" w:rsidRPr="009119B7" w:rsidRDefault="00AD3E9E" w:rsidP="00AD3E9E">
            <w:pPr>
              <w:jc w:val="both"/>
              <w:rPr>
                <w:rFonts w:ascii="Times New Roman" w:hAnsi="Times New Roman" w:cs="Times New Roman"/>
                <w:bCs/>
                <w:sz w:val="20"/>
                <w:szCs w:val="20"/>
              </w:rPr>
            </w:pPr>
          </w:p>
          <w:p w:rsidR="00AD3E9E" w:rsidRPr="009119B7" w:rsidRDefault="00AD3E9E" w:rsidP="00AD3E9E">
            <w:pPr>
              <w:jc w:val="both"/>
              <w:rPr>
                <w:rFonts w:ascii="Times New Roman" w:hAnsi="Times New Roman" w:cs="Times New Roman"/>
                <w:bCs/>
                <w:sz w:val="20"/>
                <w:szCs w:val="20"/>
              </w:rPr>
            </w:pPr>
          </w:p>
        </w:tc>
        <w:tc>
          <w:tcPr>
            <w:tcW w:w="3553" w:type="dxa"/>
            <w:shd w:val="clear" w:color="auto" w:fill="auto"/>
          </w:tcPr>
          <w:p w:rsidR="00832DCE" w:rsidRPr="009119B7" w:rsidRDefault="00832DCE" w:rsidP="00832DCE">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Vyhověno.</w:t>
            </w:r>
          </w:p>
          <w:p w:rsidR="0078264A" w:rsidRPr="009119B7" w:rsidRDefault="00832DCE" w:rsidP="00832DCE">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Příloha č. 2a upravena.</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109.</w:t>
            </w:r>
          </w:p>
        </w:tc>
        <w:tc>
          <w:tcPr>
            <w:tcW w:w="1418" w:type="dxa"/>
            <w:shd w:val="clear" w:color="auto" w:fill="auto"/>
          </w:tcPr>
          <w:p w:rsidR="00AD3E9E" w:rsidRPr="009119B7" w:rsidRDefault="00AD3E9E" w:rsidP="00AD3E9E">
            <w:pPr>
              <w:pStyle w:val="Nadpis2"/>
              <w:rPr>
                <w:sz w:val="20"/>
              </w:rPr>
            </w:pPr>
            <w:r w:rsidRPr="009119B7">
              <w:rPr>
                <w:sz w:val="20"/>
              </w:rPr>
              <w:t>Český statistický úřad</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Příloha č. 2b</w:t>
            </w:r>
          </w:p>
          <w:p w:rsidR="00AD3E9E" w:rsidRPr="009119B7" w:rsidRDefault="00AD3E9E" w:rsidP="00AD3E9E">
            <w:pPr>
              <w:rPr>
                <w:rFonts w:ascii="Times New Roman" w:hAnsi="Times New Roman" w:cs="Times New Roman"/>
                <w:sz w:val="20"/>
                <w:szCs w:val="20"/>
              </w:rPr>
            </w:pPr>
          </w:p>
        </w:tc>
        <w:tc>
          <w:tcPr>
            <w:tcW w:w="1276" w:type="dxa"/>
            <w:shd w:val="clear" w:color="auto" w:fill="auto"/>
          </w:tcPr>
          <w:p w:rsidR="00AD3E9E" w:rsidRPr="009119B7" w:rsidRDefault="00AD3E9E"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
                <w:bCs/>
                <w:sz w:val="20"/>
                <w:szCs w:val="20"/>
              </w:rPr>
            </w:pPr>
            <w:r w:rsidRPr="009119B7">
              <w:rPr>
                <w:rFonts w:ascii="Times New Roman" w:hAnsi="Times New Roman" w:cs="Times New Roman"/>
                <w:b/>
                <w:bCs/>
                <w:sz w:val="20"/>
                <w:szCs w:val="20"/>
              </w:rPr>
              <w:t>Nad rámec předloženého rozsahu změ</w:t>
            </w:r>
            <w:r w:rsidR="00893A65" w:rsidRPr="009119B7">
              <w:rPr>
                <w:rFonts w:ascii="Times New Roman" w:hAnsi="Times New Roman" w:cs="Times New Roman"/>
                <w:b/>
                <w:bCs/>
                <w:sz w:val="20"/>
                <w:szCs w:val="20"/>
              </w:rPr>
              <w:t xml:space="preserve">n se požaduje zkrácení termínu </w:t>
            </w:r>
            <w:r w:rsidRPr="009119B7">
              <w:rPr>
                <w:rFonts w:ascii="Times New Roman" w:hAnsi="Times New Roman" w:cs="Times New Roman"/>
                <w:b/>
                <w:bCs/>
                <w:sz w:val="20"/>
                <w:szCs w:val="20"/>
              </w:rPr>
              <w:t>pro předložení ročních výkazů včetně PAP (a to zejména částí I až XIII.) alespoň na 22. 2. kalendářního roku.</w:t>
            </w:r>
          </w:p>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 xml:space="preserve">Důvodem pro stanovení delšího termínu pro jednotky sestavující PAP (se kterým ČSÚ souhlasil) byla náročnost na souběh prací spojených se sestavením účetní závěrky a Pomocného analytického přehledu (jako nového systému). Objasňování specifických transakcí, které významným způsobem ovlivňují vládní deficit nebo vládní dluh, analyzování konzistence v údajích o protistranách </w:t>
            </w:r>
            <w:r w:rsidRPr="009119B7">
              <w:rPr>
                <w:rFonts w:ascii="Times New Roman" w:hAnsi="Times New Roman" w:cs="Times New Roman"/>
                <w:bCs/>
                <w:sz w:val="20"/>
                <w:szCs w:val="20"/>
              </w:rPr>
              <w:br/>
              <w:t xml:space="preserve">a správné zachycení konsolidace mezi účetními jednotkami vyžadují nejen limitované kapacity pracovníků majících přístup do Státní pokladny, ale i kapacity časové. </w:t>
            </w:r>
          </w:p>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 xml:space="preserve">V roce 2015, kdy se budou výkazy zpracovávat, by údaje ve výkazech PAP měly mít výrazně kvalitnější úroveň založenou na technických kontrolách. Byla by možnost hlubší analýzy získaných dat a tím kvalitnější zpracování EDP notifikací, tj. za předchozí rok a současně   za běžný rok, kdy projekci zajišťuje MF, včetně konvergenčního programu. Kromě toho, požadavky evropských orgánů na termíny předávání dat se zkracují, a pokud jde o vládní instituce, údaje mají být založeny na přímých administrativních zdrojích; odhady transakcí prováděných těmito jednotkami, nejsou vítány. V neposlední řadě termín pro zpracování údajů a odeslání EDP notifikací se ještě zkracuje v důsledku toho, že roční účetní výkazy nejsou schváleny a zavřeny. Požadavek na zkrácení termínu </w:t>
            </w:r>
            <w:r w:rsidRPr="009119B7">
              <w:rPr>
                <w:rFonts w:ascii="Times New Roman" w:hAnsi="Times New Roman" w:cs="Times New Roman"/>
                <w:bCs/>
                <w:sz w:val="20"/>
                <w:szCs w:val="20"/>
              </w:rPr>
              <w:lastRenderedPageBreak/>
              <w:t>pro předání účetních výkazů včetně PAP byl uplatněn již při předchozí novelizaci vyhlášky č. 383/2009 Sb.</w:t>
            </w:r>
          </w:p>
        </w:tc>
        <w:tc>
          <w:tcPr>
            <w:tcW w:w="3553" w:type="dxa"/>
            <w:shd w:val="clear" w:color="auto" w:fill="auto"/>
          </w:tcPr>
          <w:p w:rsidR="00A715F1" w:rsidRPr="00A715F1" w:rsidRDefault="00A715F1" w:rsidP="00A715F1">
            <w:pPr>
              <w:widowControl w:val="0"/>
              <w:jc w:val="both"/>
              <w:rPr>
                <w:rFonts w:ascii="Times New Roman" w:hAnsi="Times New Roman" w:cs="Times New Roman"/>
                <w:b/>
                <w:bCs/>
                <w:sz w:val="20"/>
                <w:szCs w:val="20"/>
              </w:rPr>
            </w:pPr>
            <w:r w:rsidRPr="00A715F1">
              <w:rPr>
                <w:rFonts w:ascii="Times New Roman" w:hAnsi="Times New Roman" w:cs="Times New Roman"/>
                <w:b/>
                <w:bCs/>
                <w:sz w:val="20"/>
                <w:szCs w:val="20"/>
              </w:rPr>
              <w:lastRenderedPageBreak/>
              <w:t xml:space="preserve">Vysvětleno. </w:t>
            </w:r>
          </w:p>
          <w:p w:rsidR="00AD3E9E" w:rsidRPr="009119B7" w:rsidRDefault="00A715F1" w:rsidP="00A715F1">
            <w:pPr>
              <w:widowControl w:val="0"/>
              <w:jc w:val="both"/>
              <w:rPr>
                <w:rFonts w:ascii="Times New Roman" w:hAnsi="Times New Roman" w:cs="Times New Roman"/>
                <w:b/>
                <w:bCs/>
                <w:sz w:val="20"/>
                <w:szCs w:val="20"/>
              </w:rPr>
            </w:pPr>
            <w:r w:rsidRPr="00A715F1">
              <w:rPr>
                <w:rFonts w:ascii="Times New Roman" w:hAnsi="Times New Roman" w:cs="Times New Roman"/>
                <w:bCs/>
                <w:sz w:val="20"/>
                <w:szCs w:val="20"/>
              </w:rPr>
              <w:t>Úprava termín um není možná. Problematiku bude nutné řešit v rámci KC-PAP.</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lastRenderedPageBreak/>
              <w:t>110.</w:t>
            </w:r>
          </w:p>
        </w:tc>
        <w:tc>
          <w:tcPr>
            <w:tcW w:w="1418" w:type="dxa"/>
            <w:shd w:val="clear" w:color="auto" w:fill="auto"/>
          </w:tcPr>
          <w:p w:rsidR="00AD3E9E" w:rsidRPr="009119B7" w:rsidRDefault="00AD3E9E" w:rsidP="00AD3E9E">
            <w:pPr>
              <w:pStyle w:val="Nadpis2"/>
              <w:rPr>
                <w:sz w:val="20"/>
              </w:rPr>
            </w:pPr>
            <w:r w:rsidRPr="009119B7">
              <w:rPr>
                <w:sz w:val="20"/>
              </w:rPr>
              <w:t>Úřad pro ochranu hospodářské soutěže</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nadpis</w:t>
            </w:r>
          </w:p>
        </w:tc>
        <w:tc>
          <w:tcPr>
            <w:tcW w:w="1276" w:type="dxa"/>
            <w:shd w:val="clear" w:color="auto" w:fill="auto"/>
          </w:tcPr>
          <w:p w:rsidR="00AD3E9E" w:rsidRPr="009119B7" w:rsidRDefault="00AD3E9E"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Legislativně technická připomínka</w:t>
            </w:r>
          </w:p>
          <w:p w:rsidR="00AD3E9E" w:rsidRPr="009119B7" w:rsidRDefault="00AD3E9E" w:rsidP="00AD3E9E">
            <w:pPr>
              <w:rPr>
                <w:rFonts w:ascii="Times New Roman" w:hAnsi="Times New Roman" w:cs="Times New Roman"/>
                <w:bCs/>
                <w:sz w:val="20"/>
                <w:szCs w:val="20"/>
              </w:rPr>
            </w:pPr>
            <w:r w:rsidRPr="009119B7">
              <w:rPr>
                <w:rFonts w:ascii="Times New Roman" w:hAnsi="Times New Roman" w:cs="Times New Roman"/>
                <w:bCs/>
                <w:sz w:val="20"/>
                <w:szCs w:val="20"/>
              </w:rPr>
              <w:t>Dle ustanovení článku 31 odst. 1 písm. b) ve spojení s přílohou č. 1 Legislativních pravidel vlády se údaj o datu přijetí nepíše tučně.</w:t>
            </w:r>
          </w:p>
          <w:p w:rsidR="00AD3E9E" w:rsidRPr="009119B7" w:rsidRDefault="00AD3E9E" w:rsidP="00AD3E9E">
            <w:pPr>
              <w:rPr>
                <w:rFonts w:ascii="Times New Roman" w:hAnsi="Times New Roman" w:cs="Times New Roman"/>
                <w:bCs/>
                <w:sz w:val="20"/>
                <w:szCs w:val="20"/>
              </w:rPr>
            </w:pPr>
            <w:r w:rsidRPr="009119B7">
              <w:rPr>
                <w:rFonts w:ascii="Times New Roman" w:hAnsi="Times New Roman" w:cs="Times New Roman"/>
                <w:bCs/>
                <w:i/>
                <w:sz w:val="20"/>
                <w:szCs w:val="20"/>
              </w:rPr>
              <w:t xml:space="preserve">Doporučuji v nadpise údaj o datu napsat obyčejným nikoli tučným písmem.  </w:t>
            </w:r>
          </w:p>
        </w:tc>
        <w:tc>
          <w:tcPr>
            <w:tcW w:w="3553" w:type="dxa"/>
            <w:shd w:val="clear" w:color="auto" w:fill="auto"/>
          </w:tcPr>
          <w:p w:rsidR="00A25B64" w:rsidRPr="009119B7" w:rsidRDefault="00A25B64" w:rsidP="00AD3E9E">
            <w:pPr>
              <w:widowControl w:val="0"/>
              <w:jc w:val="both"/>
              <w:rPr>
                <w:rFonts w:ascii="Times New Roman" w:hAnsi="Times New Roman" w:cs="Times New Roman"/>
                <w:b/>
                <w:bCs/>
                <w:sz w:val="20"/>
                <w:szCs w:val="20"/>
              </w:rPr>
            </w:pPr>
            <w:r w:rsidRPr="009119B7">
              <w:rPr>
                <w:rFonts w:ascii="Times New Roman" w:hAnsi="Times New Roman" w:cs="Times New Roman"/>
                <w:b/>
                <w:bCs/>
                <w:sz w:val="20"/>
                <w:szCs w:val="20"/>
              </w:rPr>
              <w:t>Vyhověno.</w:t>
            </w:r>
          </w:p>
          <w:p w:rsidR="00A25B64" w:rsidRPr="009119B7" w:rsidRDefault="00A25B64"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Text upraven.</w:t>
            </w:r>
          </w:p>
        </w:tc>
      </w:tr>
      <w:tr w:rsidR="00AD3E9E" w:rsidRPr="009119B7" w:rsidTr="0001599B">
        <w:tc>
          <w:tcPr>
            <w:tcW w:w="817" w:type="dxa"/>
            <w:shd w:val="clear" w:color="auto" w:fill="auto"/>
          </w:tcPr>
          <w:p w:rsidR="00AD3E9E" w:rsidRPr="009119B7" w:rsidRDefault="007E6F78"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111.</w:t>
            </w:r>
          </w:p>
        </w:tc>
        <w:tc>
          <w:tcPr>
            <w:tcW w:w="1418" w:type="dxa"/>
            <w:shd w:val="clear" w:color="auto" w:fill="auto"/>
          </w:tcPr>
          <w:p w:rsidR="00AD3E9E" w:rsidRPr="009119B7" w:rsidRDefault="00AD3E9E" w:rsidP="00AD3E9E">
            <w:pPr>
              <w:pStyle w:val="Nadpis2"/>
              <w:rPr>
                <w:sz w:val="20"/>
              </w:rPr>
            </w:pPr>
            <w:r w:rsidRPr="009119B7">
              <w:rPr>
                <w:sz w:val="20"/>
              </w:rPr>
              <w:t>Úřad pro ochranu hospodářské soutěže</w:t>
            </w:r>
          </w:p>
        </w:tc>
        <w:tc>
          <w:tcPr>
            <w:tcW w:w="1275" w:type="dxa"/>
            <w:shd w:val="clear" w:color="auto" w:fill="auto"/>
          </w:tcPr>
          <w:p w:rsidR="00AD3E9E" w:rsidRPr="009119B7" w:rsidRDefault="00AD3E9E" w:rsidP="00AD3E9E">
            <w:pPr>
              <w:widowControl w:val="0"/>
              <w:jc w:val="both"/>
              <w:rPr>
                <w:rFonts w:ascii="Times New Roman" w:hAnsi="Times New Roman" w:cs="Times New Roman"/>
                <w:sz w:val="20"/>
                <w:szCs w:val="20"/>
              </w:rPr>
            </w:pPr>
            <w:r w:rsidRPr="009119B7">
              <w:rPr>
                <w:rFonts w:ascii="Times New Roman" w:hAnsi="Times New Roman" w:cs="Times New Roman"/>
                <w:sz w:val="20"/>
                <w:szCs w:val="20"/>
              </w:rPr>
              <w:t>Čl. I bod 3 a 4</w:t>
            </w:r>
          </w:p>
        </w:tc>
        <w:tc>
          <w:tcPr>
            <w:tcW w:w="1276" w:type="dxa"/>
            <w:shd w:val="clear" w:color="auto" w:fill="auto"/>
          </w:tcPr>
          <w:p w:rsidR="00AD3E9E" w:rsidRPr="009119B7" w:rsidRDefault="00AD3E9E" w:rsidP="00AD3E9E">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ostatní</w:t>
            </w:r>
          </w:p>
        </w:tc>
        <w:tc>
          <w:tcPr>
            <w:tcW w:w="5803" w:type="dxa"/>
            <w:shd w:val="clear" w:color="auto" w:fill="auto"/>
          </w:tcPr>
          <w:p w:rsidR="00AD3E9E" w:rsidRPr="009119B7" w:rsidRDefault="00AD3E9E" w:rsidP="00AD3E9E">
            <w:pPr>
              <w:jc w:val="both"/>
              <w:rPr>
                <w:rFonts w:ascii="Times New Roman" w:hAnsi="Times New Roman" w:cs="Times New Roman"/>
                <w:bCs/>
                <w:sz w:val="20"/>
                <w:szCs w:val="20"/>
              </w:rPr>
            </w:pPr>
            <w:r w:rsidRPr="009119B7">
              <w:rPr>
                <w:rFonts w:ascii="Times New Roman" w:hAnsi="Times New Roman" w:cs="Times New Roman"/>
                <w:bCs/>
                <w:sz w:val="20"/>
                <w:szCs w:val="20"/>
              </w:rPr>
              <w:t>Legislativně technická připomínka</w:t>
            </w:r>
          </w:p>
          <w:p w:rsidR="00AD3E9E" w:rsidRPr="009119B7" w:rsidRDefault="00AD3E9E" w:rsidP="00AD3E9E">
            <w:pPr>
              <w:rPr>
                <w:rFonts w:ascii="Times New Roman" w:hAnsi="Times New Roman"/>
                <w:bCs/>
                <w:sz w:val="20"/>
                <w:szCs w:val="20"/>
              </w:rPr>
            </w:pPr>
            <w:r w:rsidRPr="009119B7">
              <w:rPr>
                <w:rFonts w:ascii="Times New Roman" w:hAnsi="Times New Roman"/>
                <w:bCs/>
                <w:sz w:val="20"/>
                <w:szCs w:val="20"/>
              </w:rPr>
              <w:t>Novelizační bod 3. doplňuje nový odstavec, jehož konkrétní znění v uvozovkách je uvedeno jako další, samostatný novelizační bod. Začátek zamýšleného novelizačního bodu 4. je naopak připojen na konec konkrétního znění předcházejícího a bez označení.</w:t>
            </w:r>
          </w:p>
          <w:p w:rsidR="00AD3E9E" w:rsidRPr="009119B7" w:rsidRDefault="00AD3E9E" w:rsidP="00AD3E9E">
            <w:pPr>
              <w:rPr>
                <w:rFonts w:ascii="Times New Roman" w:hAnsi="Times New Roman" w:cs="Times New Roman"/>
                <w:bCs/>
                <w:sz w:val="20"/>
                <w:szCs w:val="20"/>
              </w:rPr>
            </w:pPr>
            <w:r w:rsidRPr="009119B7">
              <w:rPr>
                <w:rFonts w:ascii="Times New Roman" w:hAnsi="Times New Roman" w:cs="Times New Roman"/>
                <w:bCs/>
                <w:i/>
                <w:sz w:val="20"/>
                <w:szCs w:val="20"/>
              </w:rPr>
              <w:t xml:space="preserve">Doporučuji text správně přeskupit do novelizačních bodů.    </w:t>
            </w:r>
          </w:p>
        </w:tc>
        <w:tc>
          <w:tcPr>
            <w:tcW w:w="3553" w:type="dxa"/>
            <w:shd w:val="clear" w:color="auto" w:fill="auto"/>
          </w:tcPr>
          <w:p w:rsidR="00A25B64" w:rsidRPr="009119B7" w:rsidRDefault="00A25B64" w:rsidP="00A25B64">
            <w:pPr>
              <w:widowControl w:val="0"/>
              <w:jc w:val="both"/>
              <w:rPr>
                <w:rFonts w:ascii="Times New Roman" w:hAnsi="Times New Roman" w:cs="Times New Roman"/>
                <w:b/>
                <w:bCs/>
                <w:sz w:val="20"/>
                <w:szCs w:val="20"/>
              </w:rPr>
            </w:pPr>
            <w:r w:rsidRPr="009119B7">
              <w:rPr>
                <w:rFonts w:ascii="Times New Roman" w:hAnsi="Times New Roman" w:cs="Times New Roman"/>
                <w:b/>
                <w:bCs/>
                <w:sz w:val="20"/>
                <w:szCs w:val="20"/>
              </w:rPr>
              <w:t>Vyhověno.</w:t>
            </w:r>
          </w:p>
          <w:p w:rsidR="00AD3E9E" w:rsidRPr="009119B7" w:rsidRDefault="00A25B64" w:rsidP="00A25B64">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Text upraven.</w:t>
            </w:r>
          </w:p>
        </w:tc>
      </w:tr>
    </w:tbl>
    <w:p w:rsidR="003D216A" w:rsidRPr="009119B7" w:rsidRDefault="003D216A" w:rsidP="002D1765">
      <w:pPr>
        <w:widowControl w:val="0"/>
        <w:jc w:val="both"/>
        <w:outlineLvl w:val="0"/>
        <w:rPr>
          <w:rFonts w:ascii="Times New Roman" w:hAnsi="Times New Roman" w:cs="Times New Roman"/>
          <w:b/>
          <w:sz w:val="20"/>
          <w:szCs w:val="20"/>
        </w:rPr>
      </w:pPr>
    </w:p>
    <w:p w:rsidR="003D216A" w:rsidRPr="009119B7" w:rsidRDefault="003D216A" w:rsidP="002D1765">
      <w:pPr>
        <w:widowControl w:val="0"/>
        <w:jc w:val="both"/>
        <w:outlineLvl w:val="0"/>
        <w:rPr>
          <w:rFonts w:ascii="Times New Roman" w:hAnsi="Times New Roman" w:cs="Times New Roman"/>
          <w:b/>
          <w:sz w:val="20"/>
          <w:szCs w:val="20"/>
        </w:rPr>
      </w:pPr>
    </w:p>
    <w:p w:rsidR="002D1765" w:rsidRPr="009119B7" w:rsidRDefault="002D1765" w:rsidP="002D1765">
      <w:pPr>
        <w:widowControl w:val="0"/>
        <w:jc w:val="both"/>
        <w:outlineLvl w:val="0"/>
        <w:rPr>
          <w:rFonts w:ascii="Times New Roman" w:hAnsi="Times New Roman" w:cs="Times New Roman"/>
          <w:b/>
          <w:sz w:val="20"/>
          <w:szCs w:val="20"/>
        </w:rPr>
      </w:pPr>
      <w:r w:rsidRPr="009119B7">
        <w:rPr>
          <w:rFonts w:ascii="Times New Roman" w:hAnsi="Times New Roman" w:cs="Times New Roman"/>
          <w:b/>
          <w:sz w:val="20"/>
          <w:szCs w:val="20"/>
        </w:rPr>
        <w:t>Vyjádřili se bez připomínek:</w:t>
      </w:r>
    </w:p>
    <w:p w:rsidR="00543294" w:rsidRPr="009119B7" w:rsidRDefault="00543294" w:rsidP="002D1765">
      <w:pPr>
        <w:widowControl w:val="0"/>
        <w:jc w:val="both"/>
        <w:outlineLvl w:val="0"/>
        <w:rPr>
          <w:rFonts w:ascii="Times New Roman" w:hAnsi="Times New Roman" w:cs="Times New Roman"/>
          <w:bCs/>
          <w:sz w:val="20"/>
          <w:szCs w:val="20"/>
        </w:rPr>
      </w:pPr>
    </w:p>
    <w:p w:rsidR="00AD4606" w:rsidRPr="009119B7" w:rsidRDefault="00B90B7A" w:rsidP="00893A65">
      <w:pPr>
        <w:pStyle w:val="Default"/>
        <w:rPr>
          <w:rFonts w:ascii="Times New Roman" w:hAnsi="Times New Roman" w:cs="Times New Roman"/>
          <w:bCs/>
          <w:sz w:val="20"/>
          <w:szCs w:val="20"/>
        </w:rPr>
      </w:pPr>
      <w:r w:rsidRPr="009119B7">
        <w:rPr>
          <w:rFonts w:ascii="Times New Roman" w:hAnsi="Times New Roman" w:cs="Times New Roman"/>
          <w:bCs/>
          <w:sz w:val="20"/>
          <w:szCs w:val="20"/>
        </w:rPr>
        <w:t xml:space="preserve">Akademie věd ČR, </w:t>
      </w:r>
      <w:r w:rsidR="00921A3A" w:rsidRPr="009119B7">
        <w:rPr>
          <w:rFonts w:ascii="Times New Roman" w:hAnsi="Times New Roman" w:cs="Times New Roman"/>
          <w:bCs/>
          <w:sz w:val="20"/>
          <w:szCs w:val="20"/>
        </w:rPr>
        <w:t xml:space="preserve">Český telekomunikační úřad, </w:t>
      </w:r>
      <w:r w:rsidRPr="009119B7">
        <w:rPr>
          <w:rFonts w:ascii="Times New Roman" w:hAnsi="Times New Roman" w:cs="Times New Roman"/>
          <w:bCs/>
          <w:sz w:val="20"/>
          <w:szCs w:val="20"/>
        </w:rPr>
        <w:t xml:space="preserve">Český úřad zeměměřický a katastrální, </w:t>
      </w:r>
      <w:r w:rsidR="00921A3A" w:rsidRPr="009119B7">
        <w:rPr>
          <w:rFonts w:ascii="Times New Roman" w:hAnsi="Times New Roman" w:cs="Times New Roman"/>
          <w:bCs/>
          <w:sz w:val="20"/>
          <w:szCs w:val="20"/>
        </w:rPr>
        <w:t>Nejvyšší soud</w:t>
      </w:r>
      <w:r w:rsidR="008361FA" w:rsidRPr="009119B7">
        <w:rPr>
          <w:rFonts w:ascii="Times New Roman" w:hAnsi="Times New Roman" w:cs="Times New Roman"/>
          <w:bCs/>
          <w:sz w:val="20"/>
          <w:szCs w:val="20"/>
        </w:rPr>
        <w:t xml:space="preserve">, </w:t>
      </w:r>
      <w:r w:rsidR="0072555C" w:rsidRPr="009119B7">
        <w:rPr>
          <w:rFonts w:ascii="Times New Roman" w:hAnsi="Times New Roman" w:cs="Times New Roman"/>
          <w:bCs/>
          <w:sz w:val="20"/>
          <w:szCs w:val="20"/>
        </w:rPr>
        <w:t xml:space="preserve">Nejvyšší státní zastupitelství, </w:t>
      </w:r>
      <w:r w:rsidR="00F8589E" w:rsidRPr="009119B7">
        <w:rPr>
          <w:rFonts w:ascii="Times New Roman" w:hAnsi="Times New Roman" w:cs="Times New Roman"/>
          <w:bCs/>
          <w:sz w:val="20"/>
          <w:szCs w:val="20"/>
        </w:rPr>
        <w:t>Správa státních hmotných rezerv, Energetický regulační úřad</w:t>
      </w:r>
      <w:r w:rsidRPr="009119B7">
        <w:rPr>
          <w:rFonts w:ascii="Times New Roman" w:hAnsi="Times New Roman" w:cs="Times New Roman"/>
          <w:bCs/>
          <w:sz w:val="20"/>
          <w:szCs w:val="20"/>
        </w:rPr>
        <w:t>, Technologická agentura ČR</w:t>
      </w:r>
      <w:r w:rsidR="00E47F35" w:rsidRPr="009119B7">
        <w:rPr>
          <w:rFonts w:ascii="Times New Roman" w:hAnsi="Times New Roman" w:cs="Times New Roman"/>
          <w:bCs/>
          <w:sz w:val="20"/>
          <w:szCs w:val="20"/>
        </w:rPr>
        <w:t xml:space="preserve">, </w:t>
      </w:r>
      <w:r w:rsidR="00E47F35" w:rsidRPr="009119B7">
        <w:rPr>
          <w:rFonts w:ascii="Times New Roman" w:hAnsi="Times New Roman" w:cs="Times New Roman"/>
          <w:sz w:val="20"/>
          <w:szCs w:val="20"/>
        </w:rPr>
        <w:t>Generální inspekce bezpečnostních sborů</w:t>
      </w:r>
      <w:r w:rsidR="00CE55FE" w:rsidRPr="009119B7">
        <w:rPr>
          <w:rFonts w:ascii="Times New Roman" w:hAnsi="Times New Roman" w:cs="Times New Roman"/>
          <w:sz w:val="20"/>
          <w:szCs w:val="20"/>
        </w:rPr>
        <w:t xml:space="preserve">, Státní úřad pro jadernou bezpečnost, </w:t>
      </w:r>
      <w:r w:rsidR="00A63F41" w:rsidRPr="009119B7">
        <w:rPr>
          <w:rFonts w:ascii="Times New Roman" w:hAnsi="Times New Roman" w:cs="Times New Roman"/>
          <w:sz w:val="20"/>
          <w:szCs w:val="20"/>
        </w:rPr>
        <w:t>Národní bezpečnostní úřad</w:t>
      </w:r>
      <w:r w:rsidR="00E95F15" w:rsidRPr="009119B7">
        <w:rPr>
          <w:rFonts w:ascii="Times New Roman" w:hAnsi="Times New Roman" w:cs="Times New Roman"/>
          <w:sz w:val="20"/>
          <w:szCs w:val="20"/>
        </w:rPr>
        <w:t>, Úřad průmyslového vlastnictví</w:t>
      </w:r>
      <w:r w:rsidR="006208AB" w:rsidRPr="009119B7">
        <w:rPr>
          <w:rFonts w:ascii="Times New Roman" w:hAnsi="Times New Roman" w:cs="Times New Roman"/>
          <w:sz w:val="20"/>
          <w:szCs w:val="20"/>
        </w:rPr>
        <w:t>, Bezpečnostní informační služba</w:t>
      </w:r>
      <w:r w:rsidR="00F90AB1" w:rsidRPr="009119B7">
        <w:rPr>
          <w:rFonts w:ascii="Times New Roman" w:hAnsi="Times New Roman" w:cs="Times New Roman"/>
          <w:sz w:val="20"/>
          <w:szCs w:val="20"/>
        </w:rPr>
        <w:t xml:space="preserve"> ČR</w:t>
      </w:r>
      <w:r w:rsidR="006208AB" w:rsidRPr="009119B7">
        <w:rPr>
          <w:rFonts w:ascii="Times New Roman" w:hAnsi="Times New Roman" w:cs="Times New Roman"/>
          <w:sz w:val="20"/>
          <w:szCs w:val="20"/>
        </w:rPr>
        <w:t xml:space="preserve">, </w:t>
      </w:r>
      <w:r w:rsidR="001D1DF0" w:rsidRPr="009119B7">
        <w:rPr>
          <w:rFonts w:ascii="Times New Roman" w:hAnsi="Times New Roman" w:cs="Times New Roman"/>
          <w:sz w:val="20"/>
          <w:szCs w:val="20"/>
        </w:rPr>
        <w:t xml:space="preserve">Konfederace umění a kultury, </w:t>
      </w:r>
      <w:r w:rsidR="004D2D46" w:rsidRPr="009119B7">
        <w:rPr>
          <w:rFonts w:ascii="Times New Roman" w:hAnsi="Times New Roman" w:cs="Times New Roman"/>
          <w:sz w:val="20"/>
          <w:szCs w:val="20"/>
        </w:rPr>
        <w:t xml:space="preserve">Český báňský úřad, </w:t>
      </w:r>
      <w:r w:rsidR="007657B6" w:rsidRPr="009119B7">
        <w:rPr>
          <w:rFonts w:ascii="Times New Roman" w:hAnsi="Times New Roman" w:cs="Times New Roman"/>
          <w:sz w:val="20"/>
          <w:szCs w:val="20"/>
        </w:rPr>
        <w:t xml:space="preserve">Úřad pro ochranu osobních údajů, </w:t>
      </w:r>
      <w:r w:rsidR="00F563D9" w:rsidRPr="009119B7">
        <w:rPr>
          <w:rFonts w:ascii="Times New Roman" w:hAnsi="Times New Roman" w:cs="Times New Roman"/>
          <w:sz w:val="20"/>
          <w:szCs w:val="20"/>
        </w:rPr>
        <w:t>Úřad pro z</w:t>
      </w:r>
      <w:r w:rsidR="00893A65" w:rsidRPr="009119B7">
        <w:rPr>
          <w:rFonts w:ascii="Times New Roman" w:hAnsi="Times New Roman" w:cs="Times New Roman"/>
          <w:sz w:val="20"/>
          <w:szCs w:val="20"/>
        </w:rPr>
        <w:t>ahraniční styky a informace ČR</w:t>
      </w:r>
    </w:p>
    <w:p w:rsidR="00E47F35" w:rsidRPr="009119B7" w:rsidRDefault="00E47F35" w:rsidP="00302FEB">
      <w:pPr>
        <w:spacing w:after="200" w:line="276" w:lineRule="auto"/>
        <w:rPr>
          <w:rFonts w:ascii="Times New Roman" w:hAnsi="Times New Roman" w:cs="Times New Roman"/>
          <w:bCs/>
          <w:sz w:val="20"/>
          <w:szCs w:val="20"/>
        </w:rPr>
      </w:pPr>
    </w:p>
    <w:p w:rsidR="002F27FA" w:rsidRPr="009119B7" w:rsidRDefault="002F27FA" w:rsidP="002F27FA">
      <w:pPr>
        <w:widowControl w:val="0"/>
        <w:jc w:val="center"/>
        <w:rPr>
          <w:rFonts w:ascii="Times New Roman" w:hAnsi="Times New Roman" w:cs="Times New Roman"/>
          <w:b/>
          <w:sz w:val="22"/>
          <w:szCs w:val="22"/>
        </w:rPr>
      </w:pPr>
      <w:r w:rsidRPr="009119B7">
        <w:rPr>
          <w:rFonts w:ascii="Times New Roman" w:hAnsi="Times New Roman" w:cs="Times New Roman"/>
          <w:b/>
          <w:sz w:val="22"/>
          <w:szCs w:val="22"/>
        </w:rPr>
        <w:t>OSTATNÍ PŘIPOMÍNKOVÁ MÍSTA</w:t>
      </w:r>
    </w:p>
    <w:p w:rsidR="002F27FA" w:rsidRPr="009119B7" w:rsidRDefault="002F27FA" w:rsidP="002F27FA">
      <w:pPr>
        <w:widowControl w:val="0"/>
        <w:jc w:val="center"/>
        <w:rPr>
          <w:rFonts w:ascii="Times New Roman" w:hAnsi="Times New Roman" w:cs="Times New Roman"/>
          <w:b/>
          <w:sz w:val="22"/>
          <w:szCs w:val="22"/>
        </w:rPr>
      </w:pPr>
      <w:r w:rsidRPr="009119B7">
        <w:rPr>
          <w:rFonts w:ascii="Times New Roman" w:hAnsi="Times New Roman" w:cs="Times New Roman"/>
          <w:b/>
          <w:sz w:val="22"/>
          <w:szCs w:val="22"/>
        </w:rPr>
        <w:t>(datová schránka)</w:t>
      </w:r>
    </w:p>
    <w:p w:rsidR="002F27FA" w:rsidRPr="009119B7" w:rsidRDefault="002F27FA" w:rsidP="002F27FA">
      <w:pPr>
        <w:widowControl w:val="0"/>
        <w:jc w:val="both"/>
        <w:outlineLvl w:val="0"/>
        <w:rPr>
          <w:rFonts w:ascii="Times New Roman" w:hAnsi="Times New Roman" w:cs="Times New Roman"/>
          <w:b/>
          <w:sz w:val="20"/>
          <w:szCs w:val="20"/>
        </w:rPr>
      </w:pPr>
    </w:p>
    <w:tbl>
      <w:tblPr>
        <w:tblpPr w:leftFromText="141" w:rightFromText="141" w:vertAnchor="text" w:horzAnchor="margin" w:tblpY="200"/>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1275"/>
        <w:gridCol w:w="1276"/>
        <w:gridCol w:w="5803"/>
        <w:gridCol w:w="3553"/>
      </w:tblGrid>
      <w:tr w:rsidR="002F27FA" w:rsidRPr="009119B7" w:rsidTr="0001599B">
        <w:tc>
          <w:tcPr>
            <w:tcW w:w="817" w:type="dxa"/>
            <w:tcBorders>
              <w:bottom w:val="single" w:sz="4" w:space="0" w:color="auto"/>
            </w:tcBorders>
            <w:shd w:val="clear" w:color="auto" w:fill="BFBFBF"/>
          </w:tcPr>
          <w:p w:rsidR="002F27FA" w:rsidRPr="009119B7" w:rsidRDefault="002F27FA" w:rsidP="0001599B">
            <w:pPr>
              <w:widowControl w:val="0"/>
              <w:jc w:val="both"/>
              <w:rPr>
                <w:rFonts w:ascii="Times New Roman" w:hAnsi="Times New Roman" w:cs="Times New Roman"/>
                <w:b/>
                <w:bCs/>
                <w:sz w:val="20"/>
                <w:szCs w:val="20"/>
              </w:rPr>
            </w:pPr>
          </w:p>
        </w:tc>
        <w:tc>
          <w:tcPr>
            <w:tcW w:w="1418" w:type="dxa"/>
            <w:tcBorders>
              <w:bottom w:val="single" w:sz="4" w:space="0" w:color="auto"/>
            </w:tcBorders>
            <w:shd w:val="clear" w:color="auto" w:fill="BFBFBF"/>
          </w:tcPr>
          <w:p w:rsidR="002F27FA" w:rsidRPr="009119B7" w:rsidRDefault="002F27FA" w:rsidP="0001599B">
            <w:pPr>
              <w:widowControl w:val="0"/>
              <w:jc w:val="both"/>
              <w:rPr>
                <w:rFonts w:ascii="Times New Roman" w:hAnsi="Times New Roman" w:cs="Times New Roman"/>
                <w:sz w:val="20"/>
                <w:szCs w:val="20"/>
              </w:rPr>
            </w:pPr>
            <w:r w:rsidRPr="009119B7">
              <w:rPr>
                <w:rFonts w:ascii="Times New Roman" w:hAnsi="Times New Roman" w:cs="Times New Roman"/>
                <w:b/>
                <w:bCs/>
                <w:sz w:val="20"/>
                <w:szCs w:val="20"/>
              </w:rPr>
              <w:t>Resort</w:t>
            </w:r>
          </w:p>
        </w:tc>
        <w:tc>
          <w:tcPr>
            <w:tcW w:w="1275" w:type="dxa"/>
            <w:tcBorders>
              <w:bottom w:val="single" w:sz="4" w:space="0" w:color="auto"/>
            </w:tcBorders>
            <w:shd w:val="clear" w:color="auto" w:fill="BFBFBF"/>
          </w:tcPr>
          <w:p w:rsidR="002F27FA" w:rsidRPr="009119B7" w:rsidRDefault="002F27FA" w:rsidP="0001599B">
            <w:pPr>
              <w:widowControl w:val="0"/>
              <w:jc w:val="both"/>
              <w:rPr>
                <w:rFonts w:ascii="Times New Roman" w:hAnsi="Times New Roman" w:cs="Times New Roman"/>
                <w:b/>
                <w:bCs/>
                <w:sz w:val="20"/>
                <w:szCs w:val="20"/>
              </w:rPr>
            </w:pPr>
            <w:r w:rsidRPr="009119B7">
              <w:rPr>
                <w:rFonts w:ascii="Times New Roman" w:hAnsi="Times New Roman" w:cs="Times New Roman"/>
                <w:b/>
                <w:bCs/>
                <w:sz w:val="20"/>
                <w:szCs w:val="20"/>
              </w:rPr>
              <w:t>Článek</w:t>
            </w:r>
          </w:p>
        </w:tc>
        <w:tc>
          <w:tcPr>
            <w:tcW w:w="1276" w:type="dxa"/>
            <w:tcBorders>
              <w:bottom w:val="single" w:sz="4" w:space="0" w:color="auto"/>
            </w:tcBorders>
            <w:shd w:val="clear" w:color="auto" w:fill="BFBFBF"/>
          </w:tcPr>
          <w:p w:rsidR="002F27FA" w:rsidRPr="009119B7" w:rsidRDefault="002F27FA" w:rsidP="0001599B">
            <w:pPr>
              <w:widowControl w:val="0"/>
              <w:jc w:val="both"/>
              <w:rPr>
                <w:rFonts w:ascii="Times New Roman" w:hAnsi="Times New Roman" w:cs="Times New Roman"/>
                <w:b/>
                <w:bCs/>
                <w:sz w:val="20"/>
                <w:szCs w:val="20"/>
              </w:rPr>
            </w:pPr>
            <w:r w:rsidRPr="009119B7">
              <w:rPr>
                <w:rFonts w:ascii="Times New Roman" w:hAnsi="Times New Roman" w:cs="Times New Roman"/>
                <w:b/>
                <w:bCs/>
                <w:sz w:val="20"/>
                <w:szCs w:val="20"/>
              </w:rPr>
              <w:t>Relevance</w:t>
            </w:r>
          </w:p>
        </w:tc>
        <w:tc>
          <w:tcPr>
            <w:tcW w:w="5803" w:type="dxa"/>
            <w:tcBorders>
              <w:bottom w:val="single" w:sz="4" w:space="0" w:color="auto"/>
            </w:tcBorders>
            <w:shd w:val="clear" w:color="auto" w:fill="BFBFBF"/>
          </w:tcPr>
          <w:p w:rsidR="002F27FA" w:rsidRPr="009119B7" w:rsidRDefault="002F27FA" w:rsidP="0001599B">
            <w:pPr>
              <w:widowControl w:val="0"/>
              <w:jc w:val="both"/>
              <w:rPr>
                <w:rFonts w:ascii="Times New Roman" w:hAnsi="Times New Roman" w:cs="Times New Roman"/>
                <w:sz w:val="20"/>
                <w:szCs w:val="20"/>
              </w:rPr>
            </w:pPr>
            <w:r w:rsidRPr="009119B7">
              <w:rPr>
                <w:rFonts w:ascii="Times New Roman" w:hAnsi="Times New Roman" w:cs="Times New Roman"/>
                <w:b/>
                <w:bCs/>
                <w:sz w:val="20"/>
                <w:szCs w:val="20"/>
              </w:rPr>
              <w:t>Připomínky</w:t>
            </w:r>
          </w:p>
        </w:tc>
        <w:tc>
          <w:tcPr>
            <w:tcW w:w="3553" w:type="dxa"/>
            <w:tcBorders>
              <w:bottom w:val="single" w:sz="4" w:space="0" w:color="auto"/>
            </w:tcBorders>
            <w:shd w:val="clear" w:color="auto" w:fill="BFBFBF"/>
          </w:tcPr>
          <w:p w:rsidR="002F27FA" w:rsidRPr="009119B7" w:rsidRDefault="002F27FA" w:rsidP="0001599B">
            <w:pPr>
              <w:widowControl w:val="0"/>
              <w:jc w:val="both"/>
              <w:rPr>
                <w:rFonts w:ascii="Times New Roman" w:hAnsi="Times New Roman" w:cs="Times New Roman"/>
                <w:sz w:val="20"/>
                <w:szCs w:val="20"/>
              </w:rPr>
            </w:pPr>
            <w:r w:rsidRPr="009119B7">
              <w:rPr>
                <w:rFonts w:ascii="Times New Roman" w:hAnsi="Times New Roman" w:cs="Times New Roman"/>
                <w:b/>
                <w:bCs/>
                <w:sz w:val="20"/>
                <w:szCs w:val="20"/>
              </w:rPr>
              <w:t>Vypořádání</w:t>
            </w:r>
          </w:p>
        </w:tc>
      </w:tr>
      <w:tr w:rsidR="002F27FA" w:rsidRPr="009119B7" w:rsidTr="0001599B">
        <w:tc>
          <w:tcPr>
            <w:tcW w:w="817" w:type="dxa"/>
            <w:shd w:val="clear" w:color="auto" w:fill="auto"/>
          </w:tcPr>
          <w:p w:rsidR="002F27FA" w:rsidRPr="009119B7" w:rsidRDefault="007E6F78" w:rsidP="0001599B">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112.</w:t>
            </w:r>
          </w:p>
        </w:tc>
        <w:tc>
          <w:tcPr>
            <w:tcW w:w="1418" w:type="dxa"/>
            <w:shd w:val="clear" w:color="auto" w:fill="auto"/>
          </w:tcPr>
          <w:p w:rsidR="00960A27" w:rsidRPr="009119B7" w:rsidRDefault="00960A27" w:rsidP="00960A27">
            <w:pPr>
              <w:pStyle w:val="Odstavecseseznamem"/>
              <w:ind w:left="0"/>
              <w:jc w:val="both"/>
              <w:rPr>
                <w:sz w:val="20"/>
                <w:szCs w:val="20"/>
              </w:rPr>
            </w:pPr>
            <w:r w:rsidRPr="009119B7">
              <w:rPr>
                <w:sz w:val="20"/>
                <w:szCs w:val="20"/>
              </w:rPr>
              <w:t>Regionální rada regionu soudržnosti Jihovýchod</w:t>
            </w:r>
          </w:p>
          <w:p w:rsidR="002F27FA" w:rsidRPr="009119B7" w:rsidRDefault="002F27FA" w:rsidP="0001599B">
            <w:pPr>
              <w:pStyle w:val="Nadpis2"/>
              <w:rPr>
                <w:sz w:val="20"/>
              </w:rPr>
            </w:pPr>
          </w:p>
        </w:tc>
        <w:tc>
          <w:tcPr>
            <w:tcW w:w="1275" w:type="dxa"/>
            <w:shd w:val="clear" w:color="auto" w:fill="auto"/>
          </w:tcPr>
          <w:p w:rsidR="002F27FA" w:rsidRPr="009119B7" w:rsidRDefault="00960A27" w:rsidP="0001599B">
            <w:pPr>
              <w:pStyle w:val="Odstavecseseznamem"/>
              <w:ind w:left="0"/>
              <w:jc w:val="both"/>
              <w:rPr>
                <w:sz w:val="20"/>
                <w:szCs w:val="20"/>
              </w:rPr>
            </w:pPr>
            <w:r w:rsidRPr="009119B7">
              <w:rPr>
                <w:sz w:val="20"/>
                <w:szCs w:val="20"/>
              </w:rPr>
              <w:t>Příloha č. 2a</w:t>
            </w:r>
          </w:p>
        </w:tc>
        <w:tc>
          <w:tcPr>
            <w:tcW w:w="1276" w:type="dxa"/>
            <w:shd w:val="clear" w:color="auto" w:fill="auto"/>
          </w:tcPr>
          <w:p w:rsidR="002F27FA" w:rsidRPr="009119B7" w:rsidRDefault="00960A27" w:rsidP="0001599B">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ostatní</w:t>
            </w:r>
          </w:p>
        </w:tc>
        <w:tc>
          <w:tcPr>
            <w:tcW w:w="5803" w:type="dxa"/>
            <w:shd w:val="clear" w:color="auto" w:fill="auto"/>
          </w:tcPr>
          <w:p w:rsidR="002F27FA" w:rsidRPr="009119B7" w:rsidRDefault="00960A27" w:rsidP="00AC364E">
            <w:pPr>
              <w:pStyle w:val="Odstavecseseznamem"/>
              <w:ind w:left="0"/>
              <w:jc w:val="both"/>
              <w:rPr>
                <w:sz w:val="20"/>
                <w:szCs w:val="20"/>
              </w:rPr>
            </w:pPr>
            <w:r w:rsidRPr="009119B7">
              <w:rPr>
                <w:sz w:val="20"/>
                <w:szCs w:val="20"/>
              </w:rPr>
              <w:t>Předpokládám, že rozšíření partnerů je z důvodu konsolidace účetnictví, nerozumím rozšířením části  II náklady, přílohy č. 2a  o účty 502, 503 a 511 a nerozšířit tuto část minimálně o účet 501. Chybí mi vysvětlení v odůvodnění, proč je účet 511 tak významný a např. účet 501 ne.  Obdobně platí i pro část  III výnosy.</w:t>
            </w:r>
          </w:p>
        </w:tc>
        <w:tc>
          <w:tcPr>
            <w:tcW w:w="3553" w:type="dxa"/>
            <w:shd w:val="clear" w:color="auto" w:fill="auto"/>
          </w:tcPr>
          <w:p w:rsidR="009119B7" w:rsidRPr="009119B7" w:rsidRDefault="009119B7" w:rsidP="009119B7">
            <w:pPr>
              <w:jc w:val="both"/>
              <w:rPr>
                <w:rFonts w:ascii="Times New Roman" w:hAnsi="Times New Roman" w:cs="Times New Roman"/>
                <w:b/>
                <w:sz w:val="20"/>
                <w:szCs w:val="20"/>
              </w:rPr>
            </w:pPr>
            <w:r w:rsidRPr="009119B7">
              <w:rPr>
                <w:rFonts w:ascii="Times New Roman" w:hAnsi="Times New Roman" w:cs="Times New Roman"/>
                <w:b/>
                <w:sz w:val="20"/>
                <w:szCs w:val="20"/>
              </w:rPr>
              <w:t xml:space="preserve">Vysvětleno. </w:t>
            </w:r>
          </w:p>
          <w:p w:rsidR="002F27FA" w:rsidRPr="009119B7" w:rsidRDefault="009119B7" w:rsidP="009119B7">
            <w:pPr>
              <w:widowControl w:val="0"/>
              <w:jc w:val="both"/>
              <w:rPr>
                <w:rFonts w:ascii="Times New Roman" w:hAnsi="Times New Roman" w:cs="Times New Roman"/>
                <w:b/>
                <w:bCs/>
                <w:sz w:val="20"/>
                <w:szCs w:val="20"/>
              </w:rPr>
            </w:pPr>
            <w:r w:rsidRPr="009119B7">
              <w:rPr>
                <w:rFonts w:ascii="Times New Roman" w:hAnsi="Times New Roman" w:cs="Times New Roman"/>
                <w:sz w:val="20"/>
                <w:szCs w:val="20"/>
              </w:rPr>
              <w:t>Navržené členění a označování partnerů vychází z aktuálních požadavků pro účely sestavení konsolidovaných účetních výkazů za ČR a DKCS.</w:t>
            </w:r>
          </w:p>
        </w:tc>
      </w:tr>
      <w:tr w:rsidR="00BA6D11" w:rsidRPr="009119B7" w:rsidTr="0001599B">
        <w:tc>
          <w:tcPr>
            <w:tcW w:w="817" w:type="dxa"/>
            <w:shd w:val="clear" w:color="auto" w:fill="auto"/>
          </w:tcPr>
          <w:p w:rsidR="00BA6D11" w:rsidRPr="009119B7" w:rsidRDefault="007E6F78" w:rsidP="0001599B">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113.</w:t>
            </w:r>
          </w:p>
        </w:tc>
        <w:tc>
          <w:tcPr>
            <w:tcW w:w="1418" w:type="dxa"/>
            <w:shd w:val="clear" w:color="auto" w:fill="auto"/>
          </w:tcPr>
          <w:p w:rsidR="00BA6D11" w:rsidRPr="009119B7" w:rsidRDefault="00BA6D11" w:rsidP="00960A27">
            <w:pPr>
              <w:pStyle w:val="Odstavecseseznamem"/>
              <w:ind w:left="0"/>
              <w:jc w:val="both"/>
              <w:rPr>
                <w:sz w:val="20"/>
                <w:szCs w:val="20"/>
              </w:rPr>
            </w:pPr>
            <w:r w:rsidRPr="009119B7">
              <w:rPr>
                <w:bCs/>
                <w:sz w:val="20"/>
                <w:szCs w:val="20"/>
              </w:rPr>
              <w:t xml:space="preserve">Generální finanční ředitelství – </w:t>
            </w:r>
            <w:r w:rsidRPr="009119B7">
              <w:rPr>
                <w:bCs/>
                <w:color w:val="000000"/>
                <w:sz w:val="20"/>
                <w:szCs w:val="20"/>
              </w:rPr>
              <w:t>Odbor finanční</w:t>
            </w:r>
          </w:p>
        </w:tc>
        <w:tc>
          <w:tcPr>
            <w:tcW w:w="1275" w:type="dxa"/>
            <w:shd w:val="clear" w:color="auto" w:fill="auto"/>
          </w:tcPr>
          <w:p w:rsidR="00893A65" w:rsidRPr="009119B7" w:rsidRDefault="00893A65" w:rsidP="0001599B">
            <w:pPr>
              <w:pStyle w:val="Odstavecseseznamem"/>
              <w:ind w:left="0"/>
              <w:jc w:val="both"/>
              <w:rPr>
                <w:sz w:val="20"/>
                <w:szCs w:val="20"/>
              </w:rPr>
            </w:pPr>
            <w:r w:rsidRPr="009119B7">
              <w:rPr>
                <w:sz w:val="20"/>
                <w:szCs w:val="20"/>
              </w:rPr>
              <w:t>Příloha č. 2a</w:t>
            </w:r>
          </w:p>
          <w:p w:rsidR="00BA6D11" w:rsidRPr="009119B7" w:rsidRDefault="0076618A" w:rsidP="0001599B">
            <w:pPr>
              <w:pStyle w:val="Odstavecseseznamem"/>
              <w:ind w:left="0"/>
              <w:jc w:val="both"/>
              <w:rPr>
                <w:sz w:val="20"/>
                <w:szCs w:val="20"/>
              </w:rPr>
            </w:pPr>
            <w:r w:rsidRPr="009119B7">
              <w:rPr>
                <w:sz w:val="20"/>
                <w:szCs w:val="20"/>
              </w:rPr>
              <w:t>Tabulka č. 3</w:t>
            </w:r>
          </w:p>
        </w:tc>
        <w:tc>
          <w:tcPr>
            <w:tcW w:w="1276" w:type="dxa"/>
            <w:shd w:val="clear" w:color="auto" w:fill="auto"/>
          </w:tcPr>
          <w:p w:rsidR="00BA6D11" w:rsidRPr="009119B7" w:rsidRDefault="00E75039" w:rsidP="0001599B">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ostatní</w:t>
            </w:r>
          </w:p>
        </w:tc>
        <w:tc>
          <w:tcPr>
            <w:tcW w:w="5803" w:type="dxa"/>
            <w:shd w:val="clear" w:color="auto" w:fill="auto"/>
          </w:tcPr>
          <w:p w:rsidR="00BA6D11" w:rsidRPr="009119B7" w:rsidRDefault="00BA6D11" w:rsidP="00BA6D11">
            <w:pPr>
              <w:pStyle w:val="Odstavecseseznamem"/>
              <w:ind w:left="0"/>
              <w:jc w:val="both"/>
              <w:rPr>
                <w:sz w:val="20"/>
                <w:szCs w:val="20"/>
              </w:rPr>
            </w:pPr>
            <w:r w:rsidRPr="009119B7">
              <w:rPr>
                <w:sz w:val="20"/>
                <w:szCs w:val="20"/>
              </w:rPr>
              <w:t xml:space="preserve">V tabulce č. 3 je uveden účet 603 03 – Výnosy z pronájmu – platby za služby. Upozorňujeme, že na tomto účtu nemůže být skutečnost o fakturovaných službách nájemníkům účtována, jelikož tato skutečnost je účtována prostřednictvím účtu 602, popř. se kompenzují příslušné vynaložené náklady nebo v případě zálohových plateb a vyúčtování s nájemníky je řešeno účtování přes zúčtovací </w:t>
            </w:r>
            <w:r w:rsidRPr="009119B7">
              <w:rPr>
                <w:sz w:val="20"/>
                <w:szCs w:val="20"/>
              </w:rPr>
              <w:lastRenderedPageBreak/>
              <w:t>vztahy.</w:t>
            </w:r>
          </w:p>
        </w:tc>
        <w:tc>
          <w:tcPr>
            <w:tcW w:w="3553" w:type="dxa"/>
            <w:shd w:val="clear" w:color="auto" w:fill="auto"/>
          </w:tcPr>
          <w:p w:rsidR="00E843C2" w:rsidRPr="009119B7" w:rsidRDefault="00E843C2" w:rsidP="00E843C2">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lastRenderedPageBreak/>
              <w:t>Vyhověno.</w:t>
            </w:r>
          </w:p>
          <w:p w:rsidR="0078264A" w:rsidRPr="009119B7" w:rsidRDefault="00E843C2" w:rsidP="00E843C2">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Příloha č. 2a upravena.</w:t>
            </w:r>
          </w:p>
        </w:tc>
      </w:tr>
      <w:tr w:rsidR="00BA6D11" w:rsidRPr="009119B7" w:rsidTr="0001599B">
        <w:tc>
          <w:tcPr>
            <w:tcW w:w="817" w:type="dxa"/>
            <w:shd w:val="clear" w:color="auto" w:fill="auto"/>
          </w:tcPr>
          <w:p w:rsidR="00BA6D11" w:rsidRPr="009119B7" w:rsidRDefault="007E6F78" w:rsidP="0001599B">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lastRenderedPageBreak/>
              <w:t>114.</w:t>
            </w:r>
          </w:p>
        </w:tc>
        <w:tc>
          <w:tcPr>
            <w:tcW w:w="1418" w:type="dxa"/>
            <w:shd w:val="clear" w:color="auto" w:fill="auto"/>
          </w:tcPr>
          <w:p w:rsidR="00BA6D11" w:rsidRPr="009119B7" w:rsidRDefault="00BA6D11" w:rsidP="00960A27">
            <w:pPr>
              <w:pStyle w:val="Odstavecseseznamem"/>
              <w:ind w:left="0"/>
              <w:jc w:val="both"/>
              <w:rPr>
                <w:sz w:val="20"/>
                <w:szCs w:val="20"/>
              </w:rPr>
            </w:pPr>
            <w:r w:rsidRPr="009119B7">
              <w:rPr>
                <w:bCs/>
                <w:sz w:val="20"/>
                <w:szCs w:val="20"/>
              </w:rPr>
              <w:t xml:space="preserve">Generální finanční ředitelství – </w:t>
            </w:r>
            <w:r w:rsidRPr="009119B7">
              <w:rPr>
                <w:bCs/>
                <w:color w:val="000000"/>
                <w:sz w:val="20"/>
                <w:szCs w:val="20"/>
              </w:rPr>
              <w:t>Odbor finanční</w:t>
            </w:r>
          </w:p>
        </w:tc>
        <w:tc>
          <w:tcPr>
            <w:tcW w:w="1275" w:type="dxa"/>
            <w:shd w:val="clear" w:color="auto" w:fill="auto"/>
          </w:tcPr>
          <w:p w:rsidR="00BA6D11" w:rsidRPr="009119B7" w:rsidRDefault="00BA6D11" w:rsidP="0001599B">
            <w:pPr>
              <w:pStyle w:val="Odstavecseseznamem"/>
              <w:ind w:left="0"/>
              <w:jc w:val="both"/>
              <w:rPr>
                <w:sz w:val="20"/>
                <w:szCs w:val="20"/>
              </w:rPr>
            </w:pPr>
            <w:r w:rsidRPr="009119B7">
              <w:rPr>
                <w:sz w:val="20"/>
                <w:szCs w:val="20"/>
              </w:rPr>
              <w:t>Příloha č. 2a</w:t>
            </w:r>
          </w:p>
        </w:tc>
        <w:tc>
          <w:tcPr>
            <w:tcW w:w="1276" w:type="dxa"/>
            <w:shd w:val="clear" w:color="auto" w:fill="auto"/>
          </w:tcPr>
          <w:p w:rsidR="00BA6D11" w:rsidRPr="009119B7" w:rsidRDefault="00E75039" w:rsidP="0001599B">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ostatní</w:t>
            </w:r>
          </w:p>
        </w:tc>
        <w:tc>
          <w:tcPr>
            <w:tcW w:w="5803" w:type="dxa"/>
            <w:shd w:val="clear" w:color="auto" w:fill="auto"/>
          </w:tcPr>
          <w:p w:rsidR="00BA6D11" w:rsidRPr="009119B7" w:rsidRDefault="00BA6D11" w:rsidP="00BA6D11">
            <w:pPr>
              <w:pStyle w:val="Odstavecseseznamem"/>
              <w:ind w:left="0"/>
              <w:jc w:val="both"/>
              <w:rPr>
                <w:sz w:val="20"/>
                <w:szCs w:val="20"/>
              </w:rPr>
            </w:pPr>
            <w:r w:rsidRPr="009119B7">
              <w:rPr>
                <w:sz w:val="20"/>
                <w:szCs w:val="20"/>
              </w:rPr>
              <w:t>V příloze 2a chybí u tabulek 4 – 9 obsahové vymezení druhů pohybu, které by se mělo přesunout z metodiky tak, aby to bylo jednoznačně stanoveno ve vyhlášce. Nejednotnost v různých předpisech znemožňuje funkčnost křížových kontrol.</w:t>
            </w:r>
          </w:p>
        </w:tc>
        <w:tc>
          <w:tcPr>
            <w:tcW w:w="3553" w:type="dxa"/>
            <w:shd w:val="clear" w:color="auto" w:fill="auto"/>
          </w:tcPr>
          <w:p w:rsidR="00832DCE" w:rsidRPr="009119B7" w:rsidRDefault="00832DCE" w:rsidP="00832DCE">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Vysvětleno.</w:t>
            </w:r>
          </w:p>
          <w:p w:rsidR="00BA6D11" w:rsidRPr="009119B7" w:rsidRDefault="00832DCE" w:rsidP="00832DCE">
            <w:pPr>
              <w:widowControl w:val="0"/>
              <w:jc w:val="both"/>
              <w:rPr>
                <w:rFonts w:ascii="Times New Roman" w:hAnsi="Times New Roman" w:cs="Times New Roman"/>
                <w:b/>
                <w:bCs/>
                <w:sz w:val="20"/>
                <w:szCs w:val="20"/>
              </w:rPr>
            </w:pPr>
            <w:r w:rsidRPr="009119B7">
              <w:rPr>
                <w:rFonts w:ascii="Times New Roman" w:hAnsi="Times New Roman" w:cs="Times New Roman"/>
                <w:sz w:val="20"/>
                <w:szCs w:val="20"/>
              </w:rPr>
              <w:t>Současný způsob formálního uspořádání je z hlediska předkladatele zárukou přiměřené flexibility díky možnosti průběžné aktualizace Metodiky tvorby PAP.</w:t>
            </w:r>
          </w:p>
        </w:tc>
      </w:tr>
      <w:tr w:rsidR="00BA6D11" w:rsidRPr="009119B7" w:rsidTr="0001599B">
        <w:tc>
          <w:tcPr>
            <w:tcW w:w="817" w:type="dxa"/>
            <w:shd w:val="clear" w:color="auto" w:fill="auto"/>
          </w:tcPr>
          <w:p w:rsidR="00BA6D11" w:rsidRPr="009119B7" w:rsidRDefault="007E6F78" w:rsidP="0001599B">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115.</w:t>
            </w:r>
          </w:p>
        </w:tc>
        <w:tc>
          <w:tcPr>
            <w:tcW w:w="1418" w:type="dxa"/>
            <w:shd w:val="clear" w:color="auto" w:fill="auto"/>
          </w:tcPr>
          <w:p w:rsidR="00BA6D11" w:rsidRPr="009119B7" w:rsidRDefault="00BA6D11" w:rsidP="00960A27">
            <w:pPr>
              <w:pStyle w:val="Odstavecseseznamem"/>
              <w:ind w:left="0"/>
              <w:jc w:val="both"/>
              <w:rPr>
                <w:sz w:val="20"/>
                <w:szCs w:val="20"/>
              </w:rPr>
            </w:pPr>
            <w:r w:rsidRPr="009119B7">
              <w:rPr>
                <w:bCs/>
                <w:sz w:val="20"/>
                <w:szCs w:val="20"/>
              </w:rPr>
              <w:t xml:space="preserve">Generální finanční ředitelství – </w:t>
            </w:r>
            <w:r w:rsidRPr="009119B7">
              <w:rPr>
                <w:bCs/>
                <w:color w:val="000000"/>
                <w:sz w:val="20"/>
                <w:szCs w:val="20"/>
              </w:rPr>
              <w:t>Odbor finanční</w:t>
            </w:r>
          </w:p>
        </w:tc>
        <w:tc>
          <w:tcPr>
            <w:tcW w:w="1275" w:type="dxa"/>
            <w:shd w:val="clear" w:color="auto" w:fill="auto"/>
          </w:tcPr>
          <w:p w:rsidR="00BA6D11" w:rsidRPr="009119B7" w:rsidRDefault="00BA6D11" w:rsidP="0001599B">
            <w:pPr>
              <w:pStyle w:val="Odstavecseseznamem"/>
              <w:ind w:left="0"/>
              <w:jc w:val="both"/>
              <w:rPr>
                <w:sz w:val="20"/>
                <w:szCs w:val="20"/>
              </w:rPr>
            </w:pPr>
            <w:r w:rsidRPr="009119B7">
              <w:rPr>
                <w:sz w:val="20"/>
                <w:szCs w:val="20"/>
              </w:rPr>
              <w:t>obecně</w:t>
            </w:r>
          </w:p>
        </w:tc>
        <w:tc>
          <w:tcPr>
            <w:tcW w:w="1276" w:type="dxa"/>
            <w:shd w:val="clear" w:color="auto" w:fill="auto"/>
          </w:tcPr>
          <w:p w:rsidR="00BA6D11" w:rsidRPr="009119B7" w:rsidRDefault="00E75039" w:rsidP="0001599B">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ostatní</w:t>
            </w:r>
          </w:p>
        </w:tc>
        <w:tc>
          <w:tcPr>
            <w:tcW w:w="5803" w:type="dxa"/>
            <w:shd w:val="clear" w:color="auto" w:fill="auto"/>
          </w:tcPr>
          <w:p w:rsidR="00BA6D11" w:rsidRPr="009119B7" w:rsidRDefault="00BA6D11" w:rsidP="00BA6D11">
            <w:pPr>
              <w:pStyle w:val="Odstavecseseznamem"/>
              <w:ind w:left="0"/>
              <w:jc w:val="both"/>
              <w:rPr>
                <w:sz w:val="20"/>
                <w:szCs w:val="20"/>
              </w:rPr>
            </w:pPr>
            <w:r w:rsidRPr="009119B7">
              <w:rPr>
                <w:sz w:val="20"/>
                <w:szCs w:val="20"/>
              </w:rPr>
              <w:t>Obecně - vzhledem k rozšíření počtu druhů partnerů chybí jasné vysvětlení partnerů pro správné vykazování. Toto vymezení by mělo být součástí vyhlášky tak, aby bylo jednoznačné a nezaměnitelné.</w:t>
            </w:r>
          </w:p>
        </w:tc>
        <w:tc>
          <w:tcPr>
            <w:tcW w:w="3553" w:type="dxa"/>
            <w:shd w:val="clear" w:color="auto" w:fill="auto"/>
          </w:tcPr>
          <w:p w:rsidR="00BA6D11" w:rsidRPr="009119B7" w:rsidRDefault="00134EA9" w:rsidP="0001599B">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Vysvětleno.</w:t>
            </w:r>
          </w:p>
          <w:p w:rsidR="00134EA9" w:rsidRPr="009119B7" w:rsidRDefault="00134EA9" w:rsidP="0001599B">
            <w:pPr>
              <w:widowControl w:val="0"/>
              <w:jc w:val="both"/>
              <w:rPr>
                <w:rFonts w:ascii="Times New Roman" w:hAnsi="Times New Roman" w:cs="Times New Roman"/>
                <w:b/>
                <w:bCs/>
                <w:sz w:val="20"/>
                <w:szCs w:val="20"/>
              </w:rPr>
            </w:pPr>
            <w:r w:rsidRPr="009119B7">
              <w:rPr>
                <w:rFonts w:ascii="Times New Roman" w:hAnsi="Times New Roman" w:cs="Times New Roman"/>
                <w:sz w:val="20"/>
                <w:szCs w:val="20"/>
              </w:rPr>
              <w:t>Podrobnější pravidla budou obsahem aktualizované Metodiky tvorby PAP.</w:t>
            </w:r>
          </w:p>
        </w:tc>
      </w:tr>
      <w:tr w:rsidR="00BA6D11" w:rsidRPr="009119B7" w:rsidTr="0001599B">
        <w:tc>
          <w:tcPr>
            <w:tcW w:w="817" w:type="dxa"/>
            <w:shd w:val="clear" w:color="auto" w:fill="auto"/>
          </w:tcPr>
          <w:p w:rsidR="00BA6D11" w:rsidRPr="009119B7" w:rsidRDefault="007E6F78" w:rsidP="0001599B">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116.</w:t>
            </w:r>
          </w:p>
        </w:tc>
        <w:tc>
          <w:tcPr>
            <w:tcW w:w="1418" w:type="dxa"/>
            <w:shd w:val="clear" w:color="auto" w:fill="auto"/>
          </w:tcPr>
          <w:p w:rsidR="00BA6D11" w:rsidRPr="009119B7" w:rsidRDefault="00BA6D11" w:rsidP="00960A27">
            <w:pPr>
              <w:pStyle w:val="Odstavecseseznamem"/>
              <w:ind w:left="0"/>
              <w:jc w:val="both"/>
              <w:rPr>
                <w:sz w:val="20"/>
                <w:szCs w:val="20"/>
              </w:rPr>
            </w:pPr>
            <w:r w:rsidRPr="009119B7">
              <w:rPr>
                <w:bCs/>
                <w:sz w:val="20"/>
                <w:szCs w:val="20"/>
              </w:rPr>
              <w:t xml:space="preserve">Generální finanční ředitelství – </w:t>
            </w:r>
            <w:r w:rsidRPr="009119B7">
              <w:rPr>
                <w:bCs/>
                <w:color w:val="000000"/>
                <w:sz w:val="20"/>
                <w:szCs w:val="20"/>
              </w:rPr>
              <w:t>Odbor finanční</w:t>
            </w:r>
          </w:p>
        </w:tc>
        <w:tc>
          <w:tcPr>
            <w:tcW w:w="1275" w:type="dxa"/>
            <w:shd w:val="clear" w:color="auto" w:fill="auto"/>
          </w:tcPr>
          <w:p w:rsidR="00BA6D11" w:rsidRPr="009119B7" w:rsidRDefault="00BA6D11" w:rsidP="0001599B">
            <w:pPr>
              <w:pStyle w:val="Odstavecseseznamem"/>
              <w:ind w:left="0"/>
              <w:jc w:val="both"/>
              <w:rPr>
                <w:sz w:val="20"/>
                <w:szCs w:val="20"/>
              </w:rPr>
            </w:pPr>
            <w:r w:rsidRPr="009119B7">
              <w:rPr>
                <w:sz w:val="20"/>
                <w:szCs w:val="20"/>
              </w:rPr>
              <w:t>Obecně</w:t>
            </w:r>
          </w:p>
        </w:tc>
        <w:tc>
          <w:tcPr>
            <w:tcW w:w="1276" w:type="dxa"/>
            <w:shd w:val="clear" w:color="auto" w:fill="auto"/>
          </w:tcPr>
          <w:p w:rsidR="00BA6D11" w:rsidRPr="009119B7" w:rsidRDefault="00E75039" w:rsidP="0001599B">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ostatní</w:t>
            </w:r>
          </w:p>
        </w:tc>
        <w:tc>
          <w:tcPr>
            <w:tcW w:w="5803" w:type="dxa"/>
            <w:shd w:val="clear" w:color="auto" w:fill="auto"/>
          </w:tcPr>
          <w:p w:rsidR="00BA6D11" w:rsidRPr="009119B7" w:rsidRDefault="00BA6D11" w:rsidP="00BA6D11">
            <w:pPr>
              <w:pStyle w:val="Odstavecseseznamem"/>
              <w:ind w:left="0"/>
              <w:jc w:val="both"/>
              <w:rPr>
                <w:sz w:val="20"/>
                <w:szCs w:val="20"/>
              </w:rPr>
            </w:pPr>
            <w:r w:rsidRPr="009119B7">
              <w:rPr>
                <w:sz w:val="20"/>
                <w:szCs w:val="20"/>
              </w:rPr>
              <w:t xml:space="preserve">Obecně - je požadován identifikátor veřejných zakázek a průměrná marže (%), ale ve vyhlášce není nikde vysvětlen a není zřejmé, u kterých účtů se vyplňuje. </w:t>
            </w:r>
          </w:p>
        </w:tc>
        <w:tc>
          <w:tcPr>
            <w:tcW w:w="3553" w:type="dxa"/>
            <w:shd w:val="clear" w:color="auto" w:fill="auto"/>
          </w:tcPr>
          <w:p w:rsidR="004F19EC" w:rsidRPr="009119B7" w:rsidRDefault="004F19EC" w:rsidP="004F19EC">
            <w:pPr>
              <w:widowControl w:val="0"/>
              <w:jc w:val="both"/>
              <w:rPr>
                <w:rFonts w:ascii="Times New Roman" w:hAnsi="Times New Roman" w:cs="Times New Roman"/>
                <w:b/>
                <w:sz w:val="20"/>
                <w:szCs w:val="20"/>
              </w:rPr>
            </w:pPr>
            <w:r w:rsidRPr="009119B7">
              <w:rPr>
                <w:rFonts w:ascii="Times New Roman" w:hAnsi="Times New Roman" w:cs="Times New Roman"/>
                <w:b/>
                <w:sz w:val="20"/>
                <w:szCs w:val="20"/>
              </w:rPr>
              <w:t>Vysvětleno.</w:t>
            </w:r>
          </w:p>
          <w:p w:rsidR="004F19EC" w:rsidRPr="009119B7" w:rsidRDefault="004F19EC" w:rsidP="004F19EC">
            <w:pPr>
              <w:widowControl w:val="0"/>
              <w:jc w:val="both"/>
              <w:rPr>
                <w:rFonts w:ascii="Times New Roman" w:hAnsi="Times New Roman" w:cs="Times New Roman"/>
                <w:sz w:val="20"/>
                <w:szCs w:val="20"/>
              </w:rPr>
            </w:pPr>
            <w:r w:rsidRPr="009119B7">
              <w:rPr>
                <w:rFonts w:ascii="Times New Roman" w:hAnsi="Times New Roman" w:cs="Times New Roman"/>
                <w:sz w:val="20"/>
                <w:szCs w:val="20"/>
              </w:rPr>
              <w:t>Identifikátor veřejné zakázky s</w:t>
            </w:r>
            <w:r w:rsidR="003F1BF3" w:rsidRPr="009119B7">
              <w:rPr>
                <w:rFonts w:ascii="Times New Roman" w:hAnsi="Times New Roman" w:cs="Times New Roman"/>
                <w:sz w:val="20"/>
                <w:szCs w:val="20"/>
              </w:rPr>
              <w:t>e</w:t>
            </w:r>
            <w:r w:rsidRPr="009119B7">
              <w:rPr>
                <w:rFonts w:ascii="Times New Roman" w:hAnsi="Times New Roman" w:cs="Times New Roman"/>
                <w:sz w:val="20"/>
                <w:szCs w:val="20"/>
              </w:rPr>
              <w:t xml:space="preserve"> vyplňuje v souladu s částí X v rámci PAP, tedy na účty 314 – Krátkodobé přijaté zálohy a 321 – Dodavatelé. </w:t>
            </w:r>
          </w:p>
          <w:p w:rsidR="0078264A" w:rsidRPr="009119B7" w:rsidRDefault="0078264A" w:rsidP="0001599B">
            <w:pPr>
              <w:widowControl w:val="0"/>
              <w:jc w:val="both"/>
              <w:rPr>
                <w:rFonts w:ascii="Times New Roman" w:hAnsi="Times New Roman" w:cs="Times New Roman"/>
                <w:b/>
                <w:bCs/>
                <w:sz w:val="20"/>
                <w:szCs w:val="20"/>
              </w:rPr>
            </w:pPr>
          </w:p>
        </w:tc>
      </w:tr>
      <w:tr w:rsidR="002F27FA" w:rsidRPr="009119B7" w:rsidTr="0001599B">
        <w:tc>
          <w:tcPr>
            <w:tcW w:w="817" w:type="dxa"/>
            <w:shd w:val="clear" w:color="auto" w:fill="auto"/>
          </w:tcPr>
          <w:p w:rsidR="002F27FA" w:rsidRPr="009119B7" w:rsidRDefault="007E6F78" w:rsidP="0001599B">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117.</w:t>
            </w:r>
          </w:p>
        </w:tc>
        <w:tc>
          <w:tcPr>
            <w:tcW w:w="1418" w:type="dxa"/>
            <w:shd w:val="clear" w:color="auto" w:fill="auto"/>
          </w:tcPr>
          <w:p w:rsidR="002F27FA" w:rsidRPr="009119B7" w:rsidRDefault="002D115E" w:rsidP="0001599B">
            <w:pPr>
              <w:pStyle w:val="Nadpis2"/>
              <w:rPr>
                <w:sz w:val="20"/>
              </w:rPr>
            </w:pPr>
            <w:r w:rsidRPr="009119B7">
              <w:rPr>
                <w:sz w:val="20"/>
              </w:rPr>
              <w:t>Komora auditorů ČR</w:t>
            </w:r>
          </w:p>
        </w:tc>
        <w:tc>
          <w:tcPr>
            <w:tcW w:w="1275" w:type="dxa"/>
            <w:shd w:val="clear" w:color="auto" w:fill="auto"/>
          </w:tcPr>
          <w:p w:rsidR="002F27FA" w:rsidRPr="009119B7" w:rsidRDefault="002D115E" w:rsidP="0001599B">
            <w:pPr>
              <w:pStyle w:val="Odstavecseseznamem"/>
              <w:ind w:left="0"/>
              <w:jc w:val="both"/>
              <w:rPr>
                <w:sz w:val="20"/>
                <w:szCs w:val="20"/>
              </w:rPr>
            </w:pPr>
            <w:r w:rsidRPr="009119B7">
              <w:rPr>
                <w:sz w:val="20"/>
                <w:szCs w:val="20"/>
              </w:rPr>
              <w:t>Závazek vs. dluh</w:t>
            </w:r>
          </w:p>
        </w:tc>
        <w:tc>
          <w:tcPr>
            <w:tcW w:w="1276" w:type="dxa"/>
            <w:shd w:val="clear" w:color="auto" w:fill="auto"/>
          </w:tcPr>
          <w:p w:rsidR="002F27FA" w:rsidRPr="009119B7" w:rsidRDefault="002D115E" w:rsidP="0001599B">
            <w:pPr>
              <w:widowControl w:val="0"/>
              <w:jc w:val="both"/>
              <w:rPr>
                <w:rFonts w:ascii="Times New Roman" w:hAnsi="Times New Roman" w:cs="Times New Roman"/>
                <w:bCs/>
                <w:sz w:val="20"/>
                <w:szCs w:val="20"/>
              </w:rPr>
            </w:pPr>
            <w:r w:rsidRPr="009119B7">
              <w:rPr>
                <w:rFonts w:ascii="Times New Roman" w:hAnsi="Times New Roman" w:cs="Times New Roman"/>
                <w:bCs/>
                <w:sz w:val="20"/>
                <w:szCs w:val="20"/>
              </w:rPr>
              <w:t>ostatní</w:t>
            </w:r>
          </w:p>
        </w:tc>
        <w:tc>
          <w:tcPr>
            <w:tcW w:w="5803" w:type="dxa"/>
            <w:shd w:val="clear" w:color="auto" w:fill="auto"/>
          </w:tcPr>
          <w:p w:rsidR="002F27FA" w:rsidRPr="009119B7" w:rsidRDefault="002D115E" w:rsidP="002D115E">
            <w:pPr>
              <w:pStyle w:val="Odstavecseseznamem"/>
              <w:ind w:left="0"/>
              <w:jc w:val="both"/>
              <w:rPr>
                <w:sz w:val="20"/>
                <w:szCs w:val="20"/>
              </w:rPr>
            </w:pPr>
            <w:r w:rsidRPr="009119B7">
              <w:rPr>
                <w:sz w:val="20"/>
                <w:szCs w:val="20"/>
              </w:rPr>
              <w:t xml:space="preserve">Vzhledem k definici závazku v novém občanském zákoníku jako právního vztahu a absenci definice pro potřeby vedení účetnictví a ne zcela srozumitelné úpravy v novele zákona č. 563/1991 Sb., o účetnictví, ve znění pozdějších předpisů, je používání termínu závazek a dluh v celém textu prováděcí vyhlášky č. 410/2009 Sb., kterou se provádějí některá ustanovení zákona č. 563/1991 Sb., o účetnictví, ve znění pozdějších předpisů, pro některé vybrané účetní jednotky, ve znění pozdějších předpisů, nekonzistentní a považujeme za nezbytné po uvedení terminologie do souladu s novým občanským zákoníkem provést i změnu terminologie ve všech navazujících tabulkách pomocného analytického přehledu a pomocného konsolidačního přehledu, které jsou přílohou vyhlášky. </w:t>
            </w:r>
          </w:p>
        </w:tc>
        <w:tc>
          <w:tcPr>
            <w:tcW w:w="3553" w:type="dxa"/>
            <w:shd w:val="clear" w:color="auto" w:fill="auto"/>
          </w:tcPr>
          <w:p w:rsidR="00134EA9" w:rsidRPr="009119B7" w:rsidRDefault="00134EA9" w:rsidP="00134EA9">
            <w:pPr>
              <w:widowControl w:val="0"/>
              <w:jc w:val="both"/>
              <w:rPr>
                <w:rFonts w:ascii="Times New Roman" w:hAnsi="Times New Roman" w:cs="Times New Roman"/>
                <w:b/>
                <w:bCs/>
                <w:sz w:val="20"/>
                <w:szCs w:val="20"/>
              </w:rPr>
            </w:pPr>
            <w:r w:rsidRPr="009119B7">
              <w:rPr>
                <w:rFonts w:ascii="Times New Roman" w:hAnsi="Times New Roman" w:cs="Times New Roman"/>
                <w:b/>
                <w:bCs/>
                <w:sz w:val="20"/>
                <w:szCs w:val="20"/>
              </w:rPr>
              <w:t>Bere se na vědomí.</w:t>
            </w:r>
          </w:p>
          <w:p w:rsidR="002F27FA" w:rsidRPr="009119B7" w:rsidRDefault="00134EA9" w:rsidP="00134EA9">
            <w:pPr>
              <w:widowControl w:val="0"/>
              <w:jc w:val="both"/>
              <w:rPr>
                <w:rFonts w:ascii="Times New Roman" w:hAnsi="Times New Roman" w:cs="Times New Roman"/>
                <w:b/>
                <w:bCs/>
                <w:sz w:val="20"/>
                <w:szCs w:val="20"/>
              </w:rPr>
            </w:pPr>
            <w:r w:rsidRPr="009119B7">
              <w:rPr>
                <w:rFonts w:ascii="Times New Roman" w:hAnsi="Times New Roman" w:cs="Times New Roman"/>
                <w:bCs/>
                <w:sz w:val="20"/>
                <w:szCs w:val="20"/>
              </w:rPr>
              <w:t>Viz vypořádání téže připomínky k návrhu novely vyhlášky č. 500/2002 Sb.</w:t>
            </w:r>
          </w:p>
        </w:tc>
      </w:tr>
    </w:tbl>
    <w:p w:rsidR="00E47F35" w:rsidRPr="009119B7" w:rsidRDefault="00E47F35" w:rsidP="00302FEB">
      <w:pPr>
        <w:spacing w:after="200" w:line="276" w:lineRule="auto"/>
        <w:rPr>
          <w:rFonts w:ascii="Times New Roman" w:hAnsi="Times New Roman" w:cs="Times New Roman"/>
          <w:bCs/>
          <w:sz w:val="20"/>
          <w:szCs w:val="20"/>
        </w:rPr>
      </w:pPr>
    </w:p>
    <w:p w:rsidR="00E47F35" w:rsidRPr="009119B7" w:rsidRDefault="00E47F35" w:rsidP="00E47F35">
      <w:pPr>
        <w:widowControl w:val="0"/>
        <w:jc w:val="both"/>
        <w:outlineLvl w:val="0"/>
        <w:rPr>
          <w:rFonts w:ascii="Times New Roman" w:hAnsi="Times New Roman" w:cs="Times New Roman"/>
          <w:b/>
          <w:sz w:val="20"/>
          <w:szCs w:val="20"/>
        </w:rPr>
      </w:pPr>
      <w:r w:rsidRPr="009119B7">
        <w:rPr>
          <w:rFonts w:ascii="Times New Roman" w:hAnsi="Times New Roman" w:cs="Times New Roman"/>
          <w:b/>
          <w:sz w:val="20"/>
          <w:szCs w:val="20"/>
        </w:rPr>
        <w:t>Vyjádřili se bez připomínek:</w:t>
      </w:r>
    </w:p>
    <w:p w:rsidR="00E47F35" w:rsidRPr="00F256FE" w:rsidRDefault="00E47F35" w:rsidP="00EF4B3A">
      <w:pPr>
        <w:pStyle w:val="Default"/>
        <w:rPr>
          <w:rFonts w:ascii="Times New Roman" w:hAnsi="Times New Roman" w:cs="Times New Roman"/>
          <w:bCs/>
          <w:sz w:val="20"/>
          <w:szCs w:val="20"/>
        </w:rPr>
      </w:pPr>
      <w:r w:rsidRPr="009119B7">
        <w:rPr>
          <w:rFonts w:ascii="Times New Roman" w:hAnsi="Times New Roman" w:cs="Times New Roman"/>
          <w:bCs/>
          <w:sz w:val="20"/>
          <w:szCs w:val="20"/>
        </w:rPr>
        <w:t>Komora daňových poradců ČR</w:t>
      </w:r>
      <w:r w:rsidR="005E3431" w:rsidRPr="009119B7">
        <w:rPr>
          <w:rFonts w:ascii="Times New Roman" w:hAnsi="Times New Roman" w:cs="Times New Roman"/>
          <w:bCs/>
          <w:sz w:val="20"/>
          <w:szCs w:val="20"/>
        </w:rPr>
        <w:t>, GFŘ – odbor daní z příjmů,</w:t>
      </w:r>
      <w:r w:rsidR="009E1102" w:rsidRPr="009119B7">
        <w:rPr>
          <w:rFonts w:ascii="Times New Roman" w:hAnsi="Times New Roman" w:cs="Times New Roman"/>
          <w:bCs/>
          <w:sz w:val="20"/>
          <w:szCs w:val="20"/>
        </w:rPr>
        <w:t xml:space="preserve"> Státní zemědělský intervenční fond,</w:t>
      </w:r>
      <w:r w:rsidR="00960A27" w:rsidRPr="009119B7">
        <w:rPr>
          <w:rFonts w:ascii="Times New Roman" w:hAnsi="Times New Roman" w:cs="Times New Roman"/>
          <w:bCs/>
          <w:sz w:val="20"/>
          <w:szCs w:val="20"/>
        </w:rPr>
        <w:t xml:space="preserve"> Generální ředitelství cel</w:t>
      </w:r>
      <w:r w:rsidR="00CE638C" w:rsidRPr="009119B7">
        <w:rPr>
          <w:rFonts w:ascii="Times New Roman" w:hAnsi="Times New Roman" w:cs="Times New Roman"/>
          <w:bCs/>
          <w:sz w:val="20"/>
          <w:szCs w:val="20"/>
        </w:rPr>
        <w:t xml:space="preserve">, Generální finanční ředitelství </w:t>
      </w:r>
      <w:r w:rsidR="009D19A1" w:rsidRPr="009119B7">
        <w:rPr>
          <w:rFonts w:ascii="Times New Roman" w:hAnsi="Times New Roman" w:cs="Times New Roman"/>
          <w:bCs/>
          <w:sz w:val="20"/>
          <w:szCs w:val="20"/>
        </w:rPr>
        <w:t xml:space="preserve"> </w:t>
      </w:r>
      <w:r w:rsidR="00CE638C" w:rsidRPr="009119B7">
        <w:rPr>
          <w:rFonts w:ascii="Times New Roman" w:hAnsi="Times New Roman" w:cs="Times New Roman"/>
          <w:bCs/>
          <w:sz w:val="20"/>
          <w:szCs w:val="20"/>
        </w:rPr>
        <w:t>–  Samostatný odbor evidence daní,</w:t>
      </w:r>
    </w:p>
    <w:sectPr w:rsidR="00E47F35" w:rsidRPr="00F256FE" w:rsidSect="00673391">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06F" w:rsidRDefault="004C606F" w:rsidP="00862E44">
      <w:r>
        <w:separator/>
      </w:r>
    </w:p>
  </w:endnote>
  <w:endnote w:type="continuationSeparator" w:id="0">
    <w:p w:rsidR="004C606F" w:rsidRDefault="004C606F" w:rsidP="0086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171374"/>
      <w:docPartObj>
        <w:docPartGallery w:val="Page Numbers (Bottom of Page)"/>
        <w:docPartUnique/>
      </w:docPartObj>
    </w:sdtPr>
    <w:sdtEndPr>
      <w:rPr>
        <w:rFonts w:ascii="Times New Roman" w:hAnsi="Times New Roman" w:cs="Times New Roman"/>
        <w:sz w:val="20"/>
        <w:szCs w:val="20"/>
      </w:rPr>
    </w:sdtEndPr>
    <w:sdtContent>
      <w:p w:rsidR="004C606F" w:rsidRPr="00862E44" w:rsidRDefault="004C606F">
        <w:pPr>
          <w:pStyle w:val="Zpat"/>
          <w:jc w:val="center"/>
          <w:rPr>
            <w:rFonts w:ascii="Times New Roman" w:hAnsi="Times New Roman" w:cs="Times New Roman"/>
            <w:sz w:val="20"/>
            <w:szCs w:val="20"/>
          </w:rPr>
        </w:pPr>
        <w:r w:rsidRPr="00862E44">
          <w:rPr>
            <w:rFonts w:ascii="Times New Roman" w:hAnsi="Times New Roman" w:cs="Times New Roman"/>
            <w:sz w:val="20"/>
            <w:szCs w:val="20"/>
          </w:rPr>
          <w:fldChar w:fldCharType="begin"/>
        </w:r>
        <w:r w:rsidRPr="00862E44">
          <w:rPr>
            <w:rFonts w:ascii="Times New Roman" w:hAnsi="Times New Roman" w:cs="Times New Roman"/>
            <w:sz w:val="20"/>
            <w:szCs w:val="20"/>
          </w:rPr>
          <w:instrText>PAGE   \* MERGEFORMAT</w:instrText>
        </w:r>
        <w:r w:rsidRPr="00862E44">
          <w:rPr>
            <w:rFonts w:ascii="Times New Roman" w:hAnsi="Times New Roman" w:cs="Times New Roman"/>
            <w:sz w:val="20"/>
            <w:szCs w:val="20"/>
          </w:rPr>
          <w:fldChar w:fldCharType="separate"/>
        </w:r>
        <w:r w:rsidR="00B63C79">
          <w:rPr>
            <w:rFonts w:ascii="Times New Roman" w:hAnsi="Times New Roman" w:cs="Times New Roman"/>
            <w:noProof/>
            <w:sz w:val="20"/>
            <w:szCs w:val="20"/>
          </w:rPr>
          <w:t>1</w:t>
        </w:r>
        <w:r w:rsidRPr="00862E44">
          <w:rPr>
            <w:rFonts w:ascii="Times New Roman" w:hAnsi="Times New Roman" w:cs="Times New Roman"/>
            <w:sz w:val="20"/>
            <w:szCs w:val="20"/>
          </w:rPr>
          <w:fldChar w:fldCharType="end"/>
        </w:r>
      </w:p>
    </w:sdtContent>
  </w:sdt>
  <w:p w:rsidR="004C606F" w:rsidRDefault="004C60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06F" w:rsidRDefault="004C606F" w:rsidP="00862E44">
      <w:r>
        <w:separator/>
      </w:r>
    </w:p>
  </w:footnote>
  <w:footnote w:type="continuationSeparator" w:id="0">
    <w:p w:rsidR="004C606F" w:rsidRDefault="004C606F" w:rsidP="00862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5DB"/>
    <w:multiLevelType w:val="hybridMultilevel"/>
    <w:tmpl w:val="5088EF68"/>
    <w:lvl w:ilvl="0" w:tplc="3E12B48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nsid w:val="027D1A64"/>
    <w:multiLevelType w:val="hybridMultilevel"/>
    <w:tmpl w:val="D982080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D070DF"/>
    <w:multiLevelType w:val="hybridMultilevel"/>
    <w:tmpl w:val="8076ABD6"/>
    <w:lvl w:ilvl="0" w:tplc="05562750">
      <w:start w:val="1"/>
      <w:numFmt w:val="decimal"/>
      <w:lvlText w:val="%1."/>
      <w:lvlJc w:val="left"/>
      <w:pPr>
        <w:ind w:left="5038" w:hanging="360"/>
      </w:pPr>
      <w:rPr>
        <w:rFonts w:hint="default"/>
        <w:b/>
      </w:rPr>
    </w:lvl>
    <w:lvl w:ilvl="1" w:tplc="04050019" w:tentative="1">
      <w:start w:val="1"/>
      <w:numFmt w:val="lowerLetter"/>
      <w:lvlText w:val="%2."/>
      <w:lvlJc w:val="left"/>
      <w:pPr>
        <w:ind w:left="1097" w:hanging="360"/>
      </w:pPr>
    </w:lvl>
    <w:lvl w:ilvl="2" w:tplc="0405001B" w:tentative="1">
      <w:start w:val="1"/>
      <w:numFmt w:val="lowerRoman"/>
      <w:lvlText w:val="%3."/>
      <w:lvlJc w:val="right"/>
      <w:pPr>
        <w:ind w:left="1817" w:hanging="180"/>
      </w:pPr>
    </w:lvl>
    <w:lvl w:ilvl="3" w:tplc="0405000F" w:tentative="1">
      <w:start w:val="1"/>
      <w:numFmt w:val="decimal"/>
      <w:lvlText w:val="%4."/>
      <w:lvlJc w:val="left"/>
      <w:pPr>
        <w:ind w:left="2537" w:hanging="360"/>
      </w:pPr>
    </w:lvl>
    <w:lvl w:ilvl="4" w:tplc="04050019" w:tentative="1">
      <w:start w:val="1"/>
      <w:numFmt w:val="lowerLetter"/>
      <w:lvlText w:val="%5."/>
      <w:lvlJc w:val="left"/>
      <w:pPr>
        <w:ind w:left="3257" w:hanging="360"/>
      </w:pPr>
    </w:lvl>
    <w:lvl w:ilvl="5" w:tplc="0405001B" w:tentative="1">
      <w:start w:val="1"/>
      <w:numFmt w:val="lowerRoman"/>
      <w:lvlText w:val="%6."/>
      <w:lvlJc w:val="right"/>
      <w:pPr>
        <w:ind w:left="3977" w:hanging="180"/>
      </w:pPr>
    </w:lvl>
    <w:lvl w:ilvl="6" w:tplc="0405000F" w:tentative="1">
      <w:start w:val="1"/>
      <w:numFmt w:val="decimal"/>
      <w:lvlText w:val="%7."/>
      <w:lvlJc w:val="left"/>
      <w:pPr>
        <w:ind w:left="4697" w:hanging="360"/>
      </w:pPr>
    </w:lvl>
    <w:lvl w:ilvl="7" w:tplc="04050019" w:tentative="1">
      <w:start w:val="1"/>
      <w:numFmt w:val="lowerLetter"/>
      <w:lvlText w:val="%8."/>
      <w:lvlJc w:val="left"/>
      <w:pPr>
        <w:ind w:left="5417" w:hanging="360"/>
      </w:pPr>
    </w:lvl>
    <w:lvl w:ilvl="8" w:tplc="0405001B" w:tentative="1">
      <w:start w:val="1"/>
      <w:numFmt w:val="lowerRoman"/>
      <w:lvlText w:val="%9."/>
      <w:lvlJc w:val="right"/>
      <w:pPr>
        <w:ind w:left="6137" w:hanging="180"/>
      </w:pPr>
    </w:lvl>
  </w:abstractNum>
  <w:abstractNum w:abstractNumId="3">
    <w:nsid w:val="09121813"/>
    <w:multiLevelType w:val="hybridMultilevel"/>
    <w:tmpl w:val="F9DC1E40"/>
    <w:lvl w:ilvl="0" w:tplc="3F26E154">
      <w:start w:val="1"/>
      <w:numFmt w:val="bullet"/>
      <w:lvlText w:val="-"/>
      <w:lvlJc w:val="left"/>
      <w:pPr>
        <w:ind w:left="327" w:hanging="360"/>
      </w:pPr>
      <w:rPr>
        <w:rFonts w:ascii="Times New Roman" w:eastAsia="Calibri" w:hAnsi="Times New Roman" w:cs="Times New Roman" w:hint="default"/>
      </w:rPr>
    </w:lvl>
    <w:lvl w:ilvl="1" w:tplc="04050003" w:tentative="1">
      <w:start w:val="1"/>
      <w:numFmt w:val="bullet"/>
      <w:lvlText w:val="o"/>
      <w:lvlJc w:val="left"/>
      <w:pPr>
        <w:ind w:left="1047" w:hanging="360"/>
      </w:pPr>
      <w:rPr>
        <w:rFonts w:ascii="Courier New" w:hAnsi="Courier New" w:cs="Courier New" w:hint="default"/>
      </w:rPr>
    </w:lvl>
    <w:lvl w:ilvl="2" w:tplc="04050005" w:tentative="1">
      <w:start w:val="1"/>
      <w:numFmt w:val="bullet"/>
      <w:lvlText w:val=""/>
      <w:lvlJc w:val="left"/>
      <w:pPr>
        <w:ind w:left="1767" w:hanging="360"/>
      </w:pPr>
      <w:rPr>
        <w:rFonts w:ascii="Wingdings" w:hAnsi="Wingdings" w:hint="default"/>
      </w:rPr>
    </w:lvl>
    <w:lvl w:ilvl="3" w:tplc="04050001" w:tentative="1">
      <w:start w:val="1"/>
      <w:numFmt w:val="bullet"/>
      <w:lvlText w:val=""/>
      <w:lvlJc w:val="left"/>
      <w:pPr>
        <w:ind w:left="2487" w:hanging="360"/>
      </w:pPr>
      <w:rPr>
        <w:rFonts w:ascii="Symbol" w:hAnsi="Symbol" w:hint="default"/>
      </w:rPr>
    </w:lvl>
    <w:lvl w:ilvl="4" w:tplc="04050003" w:tentative="1">
      <w:start w:val="1"/>
      <w:numFmt w:val="bullet"/>
      <w:lvlText w:val="o"/>
      <w:lvlJc w:val="left"/>
      <w:pPr>
        <w:ind w:left="3207" w:hanging="360"/>
      </w:pPr>
      <w:rPr>
        <w:rFonts w:ascii="Courier New" w:hAnsi="Courier New" w:cs="Courier New" w:hint="default"/>
      </w:rPr>
    </w:lvl>
    <w:lvl w:ilvl="5" w:tplc="04050005" w:tentative="1">
      <w:start w:val="1"/>
      <w:numFmt w:val="bullet"/>
      <w:lvlText w:val=""/>
      <w:lvlJc w:val="left"/>
      <w:pPr>
        <w:ind w:left="3927" w:hanging="360"/>
      </w:pPr>
      <w:rPr>
        <w:rFonts w:ascii="Wingdings" w:hAnsi="Wingdings" w:hint="default"/>
      </w:rPr>
    </w:lvl>
    <w:lvl w:ilvl="6" w:tplc="04050001" w:tentative="1">
      <w:start w:val="1"/>
      <w:numFmt w:val="bullet"/>
      <w:lvlText w:val=""/>
      <w:lvlJc w:val="left"/>
      <w:pPr>
        <w:ind w:left="4647" w:hanging="360"/>
      </w:pPr>
      <w:rPr>
        <w:rFonts w:ascii="Symbol" w:hAnsi="Symbol" w:hint="default"/>
      </w:rPr>
    </w:lvl>
    <w:lvl w:ilvl="7" w:tplc="04050003" w:tentative="1">
      <w:start w:val="1"/>
      <w:numFmt w:val="bullet"/>
      <w:lvlText w:val="o"/>
      <w:lvlJc w:val="left"/>
      <w:pPr>
        <w:ind w:left="5367" w:hanging="360"/>
      </w:pPr>
      <w:rPr>
        <w:rFonts w:ascii="Courier New" w:hAnsi="Courier New" w:cs="Courier New" w:hint="default"/>
      </w:rPr>
    </w:lvl>
    <w:lvl w:ilvl="8" w:tplc="04050005" w:tentative="1">
      <w:start w:val="1"/>
      <w:numFmt w:val="bullet"/>
      <w:lvlText w:val=""/>
      <w:lvlJc w:val="left"/>
      <w:pPr>
        <w:ind w:left="6087" w:hanging="360"/>
      </w:pPr>
      <w:rPr>
        <w:rFonts w:ascii="Wingdings" w:hAnsi="Wingdings" w:hint="default"/>
      </w:rPr>
    </w:lvl>
  </w:abstractNum>
  <w:abstractNum w:abstractNumId="4">
    <w:nsid w:val="09F652E2"/>
    <w:multiLevelType w:val="hybridMultilevel"/>
    <w:tmpl w:val="7B4478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A61659D"/>
    <w:multiLevelType w:val="hybridMultilevel"/>
    <w:tmpl w:val="55CE3334"/>
    <w:lvl w:ilvl="0" w:tplc="AEDA62B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0C33580"/>
    <w:multiLevelType w:val="hybridMultilevel"/>
    <w:tmpl w:val="6E7AD954"/>
    <w:lvl w:ilvl="0" w:tplc="04050019">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7">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8">
    <w:nsid w:val="1FE01AC2"/>
    <w:multiLevelType w:val="hybridMultilevel"/>
    <w:tmpl w:val="ADF8B560"/>
    <w:lvl w:ilvl="0" w:tplc="C504B314">
      <w:numFmt w:val="bullet"/>
      <w:lvlText w:val="-"/>
      <w:lvlJc w:val="left"/>
      <w:pPr>
        <w:ind w:left="720" w:hanging="360"/>
      </w:pPr>
      <w:rPr>
        <w:rFonts w:ascii="Calibri" w:eastAsia="Calibri" w:hAnsi="Calibri" w:hint="default"/>
        <w:i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2034151B"/>
    <w:multiLevelType w:val="hybridMultilevel"/>
    <w:tmpl w:val="F5BCF20C"/>
    <w:lvl w:ilvl="0" w:tplc="231EB42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E97079C"/>
    <w:multiLevelType w:val="hybridMultilevel"/>
    <w:tmpl w:val="5C5CCDC2"/>
    <w:lvl w:ilvl="0" w:tplc="3E78F6CA">
      <w:start w:val="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1CF007B"/>
    <w:multiLevelType w:val="hybridMultilevel"/>
    <w:tmpl w:val="D87ED8C4"/>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0A07F98"/>
    <w:multiLevelType w:val="hybridMultilevel"/>
    <w:tmpl w:val="504CED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37B7E79"/>
    <w:multiLevelType w:val="hybridMultilevel"/>
    <w:tmpl w:val="55CE3334"/>
    <w:lvl w:ilvl="0" w:tplc="AEDA62B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4BD55A0"/>
    <w:multiLevelType w:val="hybridMultilevel"/>
    <w:tmpl w:val="D87ED8C4"/>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8261C90"/>
    <w:multiLevelType w:val="hybridMultilevel"/>
    <w:tmpl w:val="46467F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7E23D2"/>
    <w:multiLevelType w:val="hybridMultilevel"/>
    <w:tmpl w:val="C00655B8"/>
    <w:lvl w:ilvl="0" w:tplc="09E60C36">
      <w:start w:val="1"/>
      <w:numFmt w:val="decimal"/>
      <w:lvlText w:val="%1)"/>
      <w:lvlJc w:val="left"/>
      <w:pPr>
        <w:tabs>
          <w:tab w:val="num" w:pos="720"/>
        </w:tabs>
        <w:ind w:left="720" w:hanging="360"/>
      </w:pPr>
      <w:rPr>
        <w:b/>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nsid w:val="62757E56"/>
    <w:multiLevelType w:val="hybridMultilevel"/>
    <w:tmpl w:val="90C2D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AB3370"/>
    <w:multiLevelType w:val="hybridMultilevel"/>
    <w:tmpl w:val="230E3D62"/>
    <w:lvl w:ilvl="0" w:tplc="0405000F">
      <w:start w:val="1"/>
      <w:numFmt w:val="decimal"/>
      <w:lvlText w:val="%1."/>
      <w:lvlJc w:val="left"/>
      <w:pPr>
        <w:tabs>
          <w:tab w:val="num" w:pos="780"/>
        </w:tabs>
        <w:ind w:left="780" w:hanging="360"/>
      </w:pPr>
    </w:lvl>
    <w:lvl w:ilvl="1" w:tplc="04050019">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9">
    <w:nsid w:val="6AAF1A1F"/>
    <w:multiLevelType w:val="multilevel"/>
    <w:tmpl w:val="95E05948"/>
    <w:lvl w:ilvl="0">
      <w:start w:val="1"/>
      <w:numFmt w:val="decimal"/>
      <w:pStyle w:val="Textodstavce"/>
      <w:isLgl/>
      <w:lvlText w:val="(%1)"/>
      <w:lvlJc w:val="left"/>
      <w:pPr>
        <w:tabs>
          <w:tab w:val="num" w:pos="785"/>
        </w:tabs>
        <w:ind w:left="0" w:firstLine="425"/>
      </w:pPr>
      <w:rPr>
        <w:strike/>
      </w:r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0">
    <w:nsid w:val="6EBD23A4"/>
    <w:multiLevelType w:val="hybridMultilevel"/>
    <w:tmpl w:val="FFFA9D42"/>
    <w:lvl w:ilvl="0" w:tplc="0BEA52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EE06733"/>
    <w:multiLevelType w:val="hybridMultilevel"/>
    <w:tmpl w:val="D10435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6091BB4"/>
    <w:multiLevelType w:val="hybridMultilevel"/>
    <w:tmpl w:val="DCA0A398"/>
    <w:lvl w:ilvl="0" w:tplc="6F72DC94">
      <w:start w:val="1"/>
      <w:numFmt w:val="decimal"/>
      <w:lvlText w:val="%1."/>
      <w:lvlJc w:val="left"/>
      <w:pPr>
        <w:tabs>
          <w:tab w:val="num" w:pos="720"/>
        </w:tabs>
        <w:ind w:left="720" w:hanging="360"/>
      </w:pPr>
      <w:rPr>
        <w:rFonts w:hint="default"/>
        <w:sz w:val="2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7956980"/>
    <w:multiLevelType w:val="hybridMultilevel"/>
    <w:tmpl w:val="2D8E1532"/>
    <w:lvl w:ilvl="0" w:tplc="5D76F9E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7B151FC2"/>
    <w:multiLevelType w:val="hybridMultilevel"/>
    <w:tmpl w:val="ECFE578C"/>
    <w:lvl w:ilvl="0" w:tplc="C73A9AA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5">
    <w:nsid w:val="7DF44A9F"/>
    <w:multiLevelType w:val="hybridMultilevel"/>
    <w:tmpl w:val="13A85B16"/>
    <w:lvl w:ilvl="0" w:tplc="853004D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num>
  <w:num w:numId="4">
    <w:abstractNumId w:val="15"/>
  </w:num>
  <w:num w:numId="5">
    <w:abstractNumId w:val="18"/>
  </w:num>
  <w:num w:numId="6">
    <w:abstractNumId w:val="6"/>
  </w:num>
  <w:num w:numId="7">
    <w:abstractNumId w:val="21"/>
  </w:num>
  <w:num w:numId="8">
    <w:abstractNumId w:val="5"/>
  </w:num>
  <w:num w:numId="9">
    <w:abstractNumId w:val="13"/>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2"/>
  </w:num>
  <w:num w:numId="13">
    <w:abstractNumId w:val="12"/>
  </w:num>
  <w:num w:numId="14">
    <w:abstractNumId w:val="11"/>
  </w:num>
  <w:num w:numId="15">
    <w:abstractNumId w:val="14"/>
  </w:num>
  <w:num w:numId="16">
    <w:abstractNumId w:val="1"/>
  </w:num>
  <w:num w:numId="17">
    <w:abstractNumId w:val="4"/>
  </w:num>
  <w:num w:numId="18">
    <w:abstractNumId w:val="17"/>
  </w:num>
  <w:num w:numId="19">
    <w:abstractNumId w:val="19"/>
  </w:num>
  <w:num w:numId="20">
    <w:abstractNumId w:val="25"/>
  </w:num>
  <w:num w:numId="21">
    <w:abstractNumId w:val="20"/>
  </w:num>
  <w:num w:numId="22">
    <w:abstractNumId w:val="3"/>
  </w:num>
  <w:num w:numId="23">
    <w:abstractNumId w:val="1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65"/>
    <w:rsid w:val="0000185B"/>
    <w:rsid w:val="00003425"/>
    <w:rsid w:val="00006711"/>
    <w:rsid w:val="0001599B"/>
    <w:rsid w:val="0002214E"/>
    <w:rsid w:val="000247B2"/>
    <w:rsid w:val="0003498C"/>
    <w:rsid w:val="0006329A"/>
    <w:rsid w:val="00064B25"/>
    <w:rsid w:val="00070626"/>
    <w:rsid w:val="00090113"/>
    <w:rsid w:val="000A4988"/>
    <w:rsid w:val="000A6A9B"/>
    <w:rsid w:val="000C085A"/>
    <w:rsid w:val="000C222B"/>
    <w:rsid w:val="000C7AEE"/>
    <w:rsid w:val="000D6166"/>
    <w:rsid w:val="000E60B8"/>
    <w:rsid w:val="000E642A"/>
    <w:rsid w:val="001060C4"/>
    <w:rsid w:val="00114AB2"/>
    <w:rsid w:val="00134EA9"/>
    <w:rsid w:val="00135B8C"/>
    <w:rsid w:val="00143D4E"/>
    <w:rsid w:val="00144801"/>
    <w:rsid w:val="00163527"/>
    <w:rsid w:val="001777C7"/>
    <w:rsid w:val="00180D68"/>
    <w:rsid w:val="00183A54"/>
    <w:rsid w:val="001933A1"/>
    <w:rsid w:val="00194C44"/>
    <w:rsid w:val="001C1A0D"/>
    <w:rsid w:val="001C1AC8"/>
    <w:rsid w:val="001D1DF0"/>
    <w:rsid w:val="001D3C4F"/>
    <w:rsid w:val="001F1ACE"/>
    <w:rsid w:val="001F2DCB"/>
    <w:rsid w:val="00205CA9"/>
    <w:rsid w:val="00221BD9"/>
    <w:rsid w:val="0022608F"/>
    <w:rsid w:val="00233202"/>
    <w:rsid w:val="002521C4"/>
    <w:rsid w:val="002607CB"/>
    <w:rsid w:val="00261000"/>
    <w:rsid w:val="00265EC6"/>
    <w:rsid w:val="00275499"/>
    <w:rsid w:val="002852EA"/>
    <w:rsid w:val="002978F4"/>
    <w:rsid w:val="002B1890"/>
    <w:rsid w:val="002B39C9"/>
    <w:rsid w:val="002B4AEC"/>
    <w:rsid w:val="002C006E"/>
    <w:rsid w:val="002C5FD1"/>
    <w:rsid w:val="002D115E"/>
    <w:rsid w:val="002D1765"/>
    <w:rsid w:val="002E7236"/>
    <w:rsid w:val="002F27FA"/>
    <w:rsid w:val="00302FEB"/>
    <w:rsid w:val="0033442C"/>
    <w:rsid w:val="00337221"/>
    <w:rsid w:val="003453E5"/>
    <w:rsid w:val="00374D18"/>
    <w:rsid w:val="00375191"/>
    <w:rsid w:val="003D216A"/>
    <w:rsid w:val="003D6C9E"/>
    <w:rsid w:val="003E1E50"/>
    <w:rsid w:val="003E24C0"/>
    <w:rsid w:val="003E3DED"/>
    <w:rsid w:val="003F1BF3"/>
    <w:rsid w:val="003F470D"/>
    <w:rsid w:val="003F571A"/>
    <w:rsid w:val="0040208D"/>
    <w:rsid w:val="004570BC"/>
    <w:rsid w:val="0048033E"/>
    <w:rsid w:val="004859DB"/>
    <w:rsid w:val="004901EA"/>
    <w:rsid w:val="004903D9"/>
    <w:rsid w:val="004924D4"/>
    <w:rsid w:val="004931D0"/>
    <w:rsid w:val="004C606F"/>
    <w:rsid w:val="004D2D46"/>
    <w:rsid w:val="004D756F"/>
    <w:rsid w:val="004E3E4D"/>
    <w:rsid w:val="004F19EC"/>
    <w:rsid w:val="00524D00"/>
    <w:rsid w:val="00525BFA"/>
    <w:rsid w:val="00537866"/>
    <w:rsid w:val="00537F47"/>
    <w:rsid w:val="00543294"/>
    <w:rsid w:val="00545BE6"/>
    <w:rsid w:val="00575519"/>
    <w:rsid w:val="005A2CB9"/>
    <w:rsid w:val="005B3383"/>
    <w:rsid w:val="005B66C0"/>
    <w:rsid w:val="005C38E9"/>
    <w:rsid w:val="005D143E"/>
    <w:rsid w:val="005E3431"/>
    <w:rsid w:val="005F6B13"/>
    <w:rsid w:val="0061026E"/>
    <w:rsid w:val="00615813"/>
    <w:rsid w:val="0061706E"/>
    <w:rsid w:val="00617BF1"/>
    <w:rsid w:val="006208AB"/>
    <w:rsid w:val="00635845"/>
    <w:rsid w:val="00640280"/>
    <w:rsid w:val="00643778"/>
    <w:rsid w:val="00665A52"/>
    <w:rsid w:val="00667E5A"/>
    <w:rsid w:val="00673391"/>
    <w:rsid w:val="006926A2"/>
    <w:rsid w:val="006B6CF1"/>
    <w:rsid w:val="006E4F01"/>
    <w:rsid w:val="006E6179"/>
    <w:rsid w:val="006F0806"/>
    <w:rsid w:val="006F3863"/>
    <w:rsid w:val="00702812"/>
    <w:rsid w:val="00722EE5"/>
    <w:rsid w:val="0072555C"/>
    <w:rsid w:val="007322FD"/>
    <w:rsid w:val="007657B6"/>
    <w:rsid w:val="0076618A"/>
    <w:rsid w:val="0078264A"/>
    <w:rsid w:val="00785A80"/>
    <w:rsid w:val="00786AEF"/>
    <w:rsid w:val="00796D9C"/>
    <w:rsid w:val="007E0522"/>
    <w:rsid w:val="007E5E51"/>
    <w:rsid w:val="007E6F78"/>
    <w:rsid w:val="007F1D76"/>
    <w:rsid w:val="00810E37"/>
    <w:rsid w:val="008135CA"/>
    <w:rsid w:val="0082647D"/>
    <w:rsid w:val="00830D6A"/>
    <w:rsid w:val="00832DCE"/>
    <w:rsid w:val="008361FA"/>
    <w:rsid w:val="00861875"/>
    <w:rsid w:val="00862E44"/>
    <w:rsid w:val="00876DDD"/>
    <w:rsid w:val="00881F06"/>
    <w:rsid w:val="00883A90"/>
    <w:rsid w:val="00893A65"/>
    <w:rsid w:val="0089605B"/>
    <w:rsid w:val="008A7BE6"/>
    <w:rsid w:val="008B7A9C"/>
    <w:rsid w:val="008C0FD3"/>
    <w:rsid w:val="008D0A91"/>
    <w:rsid w:val="008E1971"/>
    <w:rsid w:val="008F0481"/>
    <w:rsid w:val="008F0982"/>
    <w:rsid w:val="009119B7"/>
    <w:rsid w:val="00913E25"/>
    <w:rsid w:val="00921A3A"/>
    <w:rsid w:val="00936845"/>
    <w:rsid w:val="00960A27"/>
    <w:rsid w:val="00976A4B"/>
    <w:rsid w:val="00980C40"/>
    <w:rsid w:val="00984EBF"/>
    <w:rsid w:val="0099214C"/>
    <w:rsid w:val="009A5B58"/>
    <w:rsid w:val="009B22F5"/>
    <w:rsid w:val="009C524C"/>
    <w:rsid w:val="009D19A1"/>
    <w:rsid w:val="009E1102"/>
    <w:rsid w:val="009E1F32"/>
    <w:rsid w:val="009F382F"/>
    <w:rsid w:val="009F3C8E"/>
    <w:rsid w:val="00A25B64"/>
    <w:rsid w:val="00A316EC"/>
    <w:rsid w:val="00A365C3"/>
    <w:rsid w:val="00A63F41"/>
    <w:rsid w:val="00A715F1"/>
    <w:rsid w:val="00A841A1"/>
    <w:rsid w:val="00A87F46"/>
    <w:rsid w:val="00A95F59"/>
    <w:rsid w:val="00AA1829"/>
    <w:rsid w:val="00AA229F"/>
    <w:rsid w:val="00AB19BD"/>
    <w:rsid w:val="00AC364E"/>
    <w:rsid w:val="00AC7256"/>
    <w:rsid w:val="00AD3E9E"/>
    <w:rsid w:val="00AD4606"/>
    <w:rsid w:val="00B0609D"/>
    <w:rsid w:val="00B63C79"/>
    <w:rsid w:val="00B65E04"/>
    <w:rsid w:val="00B831C8"/>
    <w:rsid w:val="00B90B7A"/>
    <w:rsid w:val="00BA37AD"/>
    <w:rsid w:val="00BA6A47"/>
    <w:rsid w:val="00BA6D11"/>
    <w:rsid w:val="00BB4C6C"/>
    <w:rsid w:val="00BB7010"/>
    <w:rsid w:val="00BD7DCD"/>
    <w:rsid w:val="00BE1565"/>
    <w:rsid w:val="00BE508C"/>
    <w:rsid w:val="00C01D68"/>
    <w:rsid w:val="00C124A9"/>
    <w:rsid w:val="00C170C3"/>
    <w:rsid w:val="00C56DBE"/>
    <w:rsid w:val="00C82F42"/>
    <w:rsid w:val="00C83B78"/>
    <w:rsid w:val="00C877A7"/>
    <w:rsid w:val="00C878B5"/>
    <w:rsid w:val="00C95050"/>
    <w:rsid w:val="00CC3B7F"/>
    <w:rsid w:val="00CE55FE"/>
    <w:rsid w:val="00CE638C"/>
    <w:rsid w:val="00CE7719"/>
    <w:rsid w:val="00D05303"/>
    <w:rsid w:val="00D13C57"/>
    <w:rsid w:val="00D256E2"/>
    <w:rsid w:val="00D32479"/>
    <w:rsid w:val="00D3768D"/>
    <w:rsid w:val="00D4136D"/>
    <w:rsid w:val="00D413C9"/>
    <w:rsid w:val="00D41ADE"/>
    <w:rsid w:val="00D44CD3"/>
    <w:rsid w:val="00D50EBD"/>
    <w:rsid w:val="00D554F7"/>
    <w:rsid w:val="00D5563B"/>
    <w:rsid w:val="00D565C5"/>
    <w:rsid w:val="00D60F7B"/>
    <w:rsid w:val="00D7001E"/>
    <w:rsid w:val="00D8679D"/>
    <w:rsid w:val="00D87E7C"/>
    <w:rsid w:val="00DA10E6"/>
    <w:rsid w:val="00DA5C6B"/>
    <w:rsid w:val="00DD39C5"/>
    <w:rsid w:val="00DD5B81"/>
    <w:rsid w:val="00DD5C8B"/>
    <w:rsid w:val="00DE7E60"/>
    <w:rsid w:val="00DF0B33"/>
    <w:rsid w:val="00DF7C37"/>
    <w:rsid w:val="00E20AEF"/>
    <w:rsid w:val="00E24563"/>
    <w:rsid w:val="00E410F8"/>
    <w:rsid w:val="00E47F35"/>
    <w:rsid w:val="00E50528"/>
    <w:rsid w:val="00E62EA5"/>
    <w:rsid w:val="00E75039"/>
    <w:rsid w:val="00E80064"/>
    <w:rsid w:val="00E843C2"/>
    <w:rsid w:val="00E95AA2"/>
    <w:rsid w:val="00E95F15"/>
    <w:rsid w:val="00EA403C"/>
    <w:rsid w:val="00EA7253"/>
    <w:rsid w:val="00EB4F0A"/>
    <w:rsid w:val="00EE58CE"/>
    <w:rsid w:val="00EF2865"/>
    <w:rsid w:val="00EF4B3A"/>
    <w:rsid w:val="00F07128"/>
    <w:rsid w:val="00F14441"/>
    <w:rsid w:val="00F144DD"/>
    <w:rsid w:val="00F16E4C"/>
    <w:rsid w:val="00F256FE"/>
    <w:rsid w:val="00F563D9"/>
    <w:rsid w:val="00F753C2"/>
    <w:rsid w:val="00F8589E"/>
    <w:rsid w:val="00F86182"/>
    <w:rsid w:val="00F90AB1"/>
    <w:rsid w:val="00FB24E1"/>
    <w:rsid w:val="00FD1DCA"/>
    <w:rsid w:val="00FE3928"/>
    <w:rsid w:val="00FE66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45BE6"/>
    <w:pPr>
      <w:spacing w:after="0" w:line="240" w:lineRule="auto"/>
    </w:pPr>
    <w:rPr>
      <w:rFonts w:ascii="Arial" w:eastAsia="Times New Roman" w:hAnsi="Arial" w:cs="Arial"/>
      <w:sz w:val="24"/>
      <w:szCs w:val="24"/>
      <w:lang w:eastAsia="cs-CZ"/>
    </w:rPr>
  </w:style>
  <w:style w:type="paragraph" w:styleId="Nadpis2">
    <w:name w:val="heading 2"/>
    <w:basedOn w:val="Normln"/>
    <w:next w:val="Normln"/>
    <w:link w:val="Nadpis2Char"/>
    <w:qFormat/>
    <w:rsid w:val="002D1765"/>
    <w:pPr>
      <w:keepNext/>
      <w:outlineLvl w:val="1"/>
    </w:pPr>
    <w:rPr>
      <w:rFonts w:ascii="Times New Roman" w:hAnsi="Times New Roman" w:cs="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D1765"/>
    <w:pPr>
      <w:jc w:val="both"/>
    </w:pPr>
  </w:style>
  <w:style w:type="character" w:customStyle="1" w:styleId="ZkladntextChar">
    <w:name w:val="Základní text Char"/>
    <w:basedOn w:val="Standardnpsmoodstavce"/>
    <w:link w:val="Zkladntext"/>
    <w:rsid w:val="002D1765"/>
    <w:rPr>
      <w:rFonts w:ascii="Arial" w:eastAsia="Times New Roman" w:hAnsi="Arial" w:cs="Arial"/>
      <w:sz w:val="24"/>
      <w:szCs w:val="24"/>
      <w:lang w:eastAsia="cs-CZ"/>
    </w:rPr>
  </w:style>
  <w:style w:type="character" w:customStyle="1" w:styleId="Nadpis2Char">
    <w:name w:val="Nadpis 2 Char"/>
    <w:basedOn w:val="Standardnpsmoodstavce"/>
    <w:link w:val="Nadpis2"/>
    <w:rsid w:val="002D1765"/>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2D1765"/>
    <w:pPr>
      <w:spacing w:before="44" w:after="52"/>
      <w:ind w:left="17"/>
    </w:pPr>
    <w:rPr>
      <w:rFonts w:ascii="Times New Roman" w:hAnsi="Times New Roman" w:cs="Times New Roman"/>
      <w:color w:val="444444"/>
    </w:rPr>
  </w:style>
  <w:style w:type="paragraph" w:styleId="Zkladntext2">
    <w:name w:val="Body Text 2"/>
    <w:basedOn w:val="Normln"/>
    <w:link w:val="Zkladntext2Char"/>
    <w:uiPriority w:val="99"/>
    <w:unhideWhenUsed/>
    <w:rsid w:val="002D1765"/>
    <w:pPr>
      <w:spacing w:after="120" w:line="480" w:lineRule="auto"/>
    </w:pPr>
  </w:style>
  <w:style w:type="character" w:customStyle="1" w:styleId="Zkladntext2Char">
    <w:name w:val="Základní text 2 Char"/>
    <w:basedOn w:val="Standardnpsmoodstavce"/>
    <w:link w:val="Zkladntext2"/>
    <w:uiPriority w:val="99"/>
    <w:rsid w:val="002D1765"/>
    <w:rPr>
      <w:rFonts w:ascii="Arial" w:eastAsia="Times New Roman" w:hAnsi="Arial" w:cs="Arial"/>
      <w:sz w:val="24"/>
      <w:szCs w:val="24"/>
      <w:lang w:eastAsia="cs-CZ"/>
    </w:rPr>
  </w:style>
  <w:style w:type="paragraph" w:styleId="Textbubliny">
    <w:name w:val="Balloon Text"/>
    <w:basedOn w:val="Normln"/>
    <w:link w:val="TextbublinyChar"/>
    <w:rsid w:val="00D554F7"/>
    <w:rPr>
      <w:rFonts w:ascii="Tahoma" w:hAnsi="Tahoma" w:cs="Tahoma"/>
      <w:sz w:val="16"/>
      <w:szCs w:val="16"/>
    </w:rPr>
  </w:style>
  <w:style w:type="character" w:customStyle="1" w:styleId="TextbublinyChar">
    <w:name w:val="Text bubliny Char"/>
    <w:basedOn w:val="Standardnpsmoodstavce"/>
    <w:link w:val="Textbubliny"/>
    <w:rsid w:val="00D554F7"/>
    <w:rPr>
      <w:rFonts w:ascii="Tahoma" w:eastAsia="Times New Roman" w:hAnsi="Tahoma" w:cs="Tahoma"/>
      <w:sz w:val="16"/>
      <w:szCs w:val="16"/>
      <w:lang w:eastAsia="cs-CZ"/>
    </w:rPr>
  </w:style>
  <w:style w:type="paragraph" w:styleId="Zkladntextodsazen">
    <w:name w:val="Body Text Indent"/>
    <w:basedOn w:val="Normln"/>
    <w:link w:val="ZkladntextodsazenChar"/>
    <w:uiPriority w:val="99"/>
    <w:unhideWhenUsed/>
    <w:rsid w:val="00D554F7"/>
    <w:pPr>
      <w:spacing w:after="120"/>
      <w:ind w:left="283"/>
    </w:pPr>
  </w:style>
  <w:style w:type="character" w:customStyle="1" w:styleId="ZkladntextodsazenChar">
    <w:name w:val="Základní text odsazený Char"/>
    <w:basedOn w:val="Standardnpsmoodstavce"/>
    <w:link w:val="Zkladntextodsazen"/>
    <w:uiPriority w:val="99"/>
    <w:rsid w:val="00D554F7"/>
    <w:rPr>
      <w:rFonts w:ascii="Arial" w:eastAsia="Times New Roman" w:hAnsi="Arial" w:cs="Arial"/>
      <w:sz w:val="24"/>
      <w:szCs w:val="24"/>
      <w:lang w:eastAsia="cs-CZ"/>
    </w:rPr>
  </w:style>
  <w:style w:type="character" w:styleId="Hypertextovodkaz">
    <w:name w:val="Hyperlink"/>
    <w:uiPriority w:val="99"/>
    <w:unhideWhenUsed/>
    <w:rsid w:val="00D554F7"/>
    <w:rPr>
      <w:color w:val="0000FF"/>
      <w:u w:val="single"/>
    </w:rPr>
  </w:style>
  <w:style w:type="paragraph" w:customStyle="1" w:styleId="Novelizanbod">
    <w:name w:val="Novelizační bod"/>
    <w:basedOn w:val="Normln"/>
    <w:next w:val="Normln"/>
    <w:rsid w:val="00D554F7"/>
    <w:pPr>
      <w:keepNext/>
      <w:keepLines/>
      <w:numPr>
        <w:numId w:val="3"/>
      </w:numPr>
      <w:tabs>
        <w:tab w:val="clear" w:pos="567"/>
        <w:tab w:val="left" w:pos="851"/>
      </w:tabs>
      <w:spacing w:before="480" w:after="120" w:line="276" w:lineRule="auto"/>
      <w:ind w:left="720" w:hanging="360"/>
    </w:pPr>
    <w:rPr>
      <w:rFonts w:ascii="Calibri" w:eastAsia="Calibri" w:hAnsi="Calibri" w:cs="Times New Roman"/>
      <w:sz w:val="22"/>
      <w:szCs w:val="22"/>
      <w:lang w:eastAsia="en-US"/>
    </w:rPr>
  </w:style>
  <w:style w:type="paragraph" w:styleId="Bezmezer">
    <w:name w:val="No Spacing"/>
    <w:link w:val="BezmezerChar"/>
    <w:uiPriority w:val="1"/>
    <w:qFormat/>
    <w:rsid w:val="007E0522"/>
    <w:pPr>
      <w:spacing w:after="0" w:line="240" w:lineRule="auto"/>
    </w:pPr>
    <w:rPr>
      <w:rFonts w:ascii="Arial" w:eastAsia="Calibri" w:hAnsi="Arial" w:cs="Times New Roman"/>
    </w:rPr>
  </w:style>
  <w:style w:type="character" w:customStyle="1" w:styleId="BezmezerChar">
    <w:name w:val="Bez mezer Char"/>
    <w:link w:val="Bezmezer"/>
    <w:uiPriority w:val="1"/>
    <w:rsid w:val="007E0522"/>
    <w:rPr>
      <w:rFonts w:ascii="Arial" w:eastAsia="Calibri" w:hAnsi="Arial" w:cs="Times New Roman"/>
    </w:rPr>
  </w:style>
  <w:style w:type="paragraph" w:styleId="Odstavecseseznamem">
    <w:name w:val="List Paragraph"/>
    <w:basedOn w:val="Normln"/>
    <w:uiPriority w:val="34"/>
    <w:qFormat/>
    <w:rsid w:val="007E0522"/>
    <w:pPr>
      <w:ind w:left="720"/>
      <w:contextualSpacing/>
    </w:pPr>
    <w:rPr>
      <w:rFonts w:ascii="Times New Roman" w:hAnsi="Times New Roman" w:cs="Times New Roman"/>
    </w:rPr>
  </w:style>
  <w:style w:type="paragraph" w:customStyle="1" w:styleId="Textparagrafu">
    <w:name w:val="Text paragrafu"/>
    <w:basedOn w:val="Normln"/>
    <w:rsid w:val="004924D4"/>
    <w:pPr>
      <w:spacing w:before="240"/>
      <w:ind w:firstLine="425"/>
      <w:jc w:val="both"/>
      <w:outlineLvl w:val="5"/>
    </w:pPr>
    <w:rPr>
      <w:rFonts w:ascii="Times New Roman" w:hAnsi="Times New Roman" w:cs="Times New Roman"/>
      <w:szCs w:val="20"/>
    </w:rPr>
  </w:style>
  <w:style w:type="paragraph" w:customStyle="1" w:styleId="KRUTEXTODSTAVCE">
    <w:name w:val="_KRU_TEXT_ODSTAVCE"/>
    <w:basedOn w:val="Normln"/>
    <w:rsid w:val="006F0806"/>
    <w:pPr>
      <w:spacing w:line="288" w:lineRule="auto"/>
    </w:pPr>
    <w:rPr>
      <w:sz w:val="22"/>
    </w:rPr>
  </w:style>
  <w:style w:type="character" w:customStyle="1" w:styleId="xsptextcomputedfield">
    <w:name w:val="xsptextcomputedfield"/>
    <w:rsid w:val="000D6166"/>
  </w:style>
  <w:style w:type="paragraph" w:customStyle="1" w:styleId="Default">
    <w:name w:val="Default"/>
    <w:rsid w:val="005A2CB9"/>
    <w:pPr>
      <w:autoSpaceDE w:val="0"/>
      <w:autoSpaceDN w:val="0"/>
      <w:adjustRightInd w:val="0"/>
      <w:spacing w:after="0" w:line="240" w:lineRule="auto"/>
    </w:pPr>
    <w:rPr>
      <w:rFonts w:ascii="Verdana" w:hAnsi="Verdana" w:cs="Verdana"/>
      <w:color w:val="000000"/>
      <w:sz w:val="24"/>
      <w:szCs w:val="24"/>
    </w:rPr>
  </w:style>
  <w:style w:type="paragraph" w:styleId="Zhlav">
    <w:name w:val="header"/>
    <w:basedOn w:val="Normln"/>
    <w:link w:val="ZhlavChar"/>
    <w:uiPriority w:val="99"/>
    <w:unhideWhenUsed/>
    <w:rsid w:val="00862E44"/>
    <w:pPr>
      <w:tabs>
        <w:tab w:val="center" w:pos="4536"/>
        <w:tab w:val="right" w:pos="9072"/>
      </w:tabs>
    </w:pPr>
  </w:style>
  <w:style w:type="character" w:customStyle="1" w:styleId="ZhlavChar">
    <w:name w:val="Záhlaví Char"/>
    <w:basedOn w:val="Standardnpsmoodstavce"/>
    <w:link w:val="Zhlav"/>
    <w:uiPriority w:val="99"/>
    <w:rsid w:val="00862E44"/>
    <w:rPr>
      <w:rFonts w:ascii="Arial" w:eastAsia="Times New Roman" w:hAnsi="Arial" w:cs="Arial"/>
      <w:sz w:val="24"/>
      <w:szCs w:val="24"/>
      <w:lang w:eastAsia="cs-CZ"/>
    </w:rPr>
  </w:style>
  <w:style w:type="paragraph" w:styleId="Zpat">
    <w:name w:val="footer"/>
    <w:basedOn w:val="Normln"/>
    <w:link w:val="ZpatChar"/>
    <w:uiPriority w:val="99"/>
    <w:unhideWhenUsed/>
    <w:rsid w:val="00862E44"/>
    <w:pPr>
      <w:tabs>
        <w:tab w:val="center" w:pos="4536"/>
        <w:tab w:val="right" w:pos="9072"/>
      </w:tabs>
    </w:pPr>
  </w:style>
  <w:style w:type="character" w:customStyle="1" w:styleId="ZpatChar">
    <w:name w:val="Zápatí Char"/>
    <w:basedOn w:val="Standardnpsmoodstavce"/>
    <w:link w:val="Zpat"/>
    <w:uiPriority w:val="99"/>
    <w:rsid w:val="00862E44"/>
    <w:rPr>
      <w:rFonts w:ascii="Arial" w:eastAsia="Times New Roman" w:hAnsi="Arial" w:cs="Arial"/>
      <w:sz w:val="24"/>
      <w:szCs w:val="24"/>
      <w:lang w:eastAsia="cs-CZ"/>
    </w:rPr>
  </w:style>
  <w:style w:type="paragraph" w:customStyle="1" w:styleId="Odstavecseseznamem1">
    <w:name w:val="Odstavec se seznamem1"/>
    <w:basedOn w:val="Normln"/>
    <w:rsid w:val="00D41ADE"/>
    <w:pPr>
      <w:ind w:left="720"/>
      <w:contextualSpacing/>
    </w:pPr>
    <w:rPr>
      <w:rFonts w:ascii="Times New Roman" w:eastAsia="Calibri" w:hAnsi="Times New Roman" w:cs="Times New Roman"/>
    </w:rPr>
  </w:style>
  <w:style w:type="character" w:styleId="Siln">
    <w:name w:val="Strong"/>
    <w:basedOn w:val="Standardnpsmoodstavce"/>
    <w:uiPriority w:val="22"/>
    <w:qFormat/>
    <w:rsid w:val="00D41ADE"/>
    <w:rPr>
      <w:b/>
      <w:bCs/>
    </w:rPr>
  </w:style>
  <w:style w:type="paragraph" w:customStyle="1" w:styleId="CharCharCharCharChar">
    <w:name w:val="Char Char Char Char Char"/>
    <w:basedOn w:val="Normln"/>
    <w:rsid w:val="002607CB"/>
    <w:pPr>
      <w:spacing w:after="160" w:line="240" w:lineRule="exact"/>
    </w:pPr>
    <w:rPr>
      <w:rFonts w:ascii="Tahoma" w:hAnsi="Tahoma" w:cs="Tahoma"/>
      <w:sz w:val="22"/>
      <w:szCs w:val="22"/>
      <w:lang w:val="en-US" w:eastAsia="en-US"/>
    </w:rPr>
  </w:style>
  <w:style w:type="paragraph" w:styleId="Nzev">
    <w:name w:val="Title"/>
    <w:basedOn w:val="Normln"/>
    <w:link w:val="NzevChar"/>
    <w:qFormat/>
    <w:rsid w:val="002607CB"/>
    <w:pPr>
      <w:jc w:val="center"/>
    </w:pPr>
    <w:rPr>
      <w:rFonts w:ascii="Tahoma" w:hAnsi="Tahoma" w:cs="Tahoma"/>
      <w:b/>
      <w:bCs/>
    </w:rPr>
  </w:style>
  <w:style w:type="character" w:customStyle="1" w:styleId="NzevChar">
    <w:name w:val="Název Char"/>
    <w:basedOn w:val="Standardnpsmoodstavce"/>
    <w:link w:val="Nzev"/>
    <w:rsid w:val="002607CB"/>
    <w:rPr>
      <w:rFonts w:ascii="Tahoma" w:eastAsia="Times New Roman" w:hAnsi="Tahoma" w:cs="Tahoma"/>
      <w:b/>
      <w:bCs/>
      <w:sz w:val="24"/>
      <w:szCs w:val="24"/>
      <w:lang w:eastAsia="cs-CZ"/>
    </w:rPr>
  </w:style>
  <w:style w:type="paragraph" w:customStyle="1" w:styleId="Textbodu">
    <w:name w:val="Text bodu"/>
    <w:basedOn w:val="Normln"/>
    <w:rsid w:val="00FD1DCA"/>
    <w:pPr>
      <w:numPr>
        <w:ilvl w:val="2"/>
        <w:numId w:val="19"/>
      </w:numPr>
      <w:jc w:val="both"/>
      <w:outlineLvl w:val="8"/>
    </w:pPr>
    <w:rPr>
      <w:rFonts w:ascii="Times New Roman" w:hAnsi="Times New Roman" w:cs="Times New Roman"/>
      <w:szCs w:val="20"/>
    </w:rPr>
  </w:style>
  <w:style w:type="paragraph" w:customStyle="1" w:styleId="Textpsmene">
    <w:name w:val="Text písmene"/>
    <w:basedOn w:val="Normln"/>
    <w:rsid w:val="00FD1DCA"/>
    <w:pPr>
      <w:numPr>
        <w:ilvl w:val="1"/>
        <w:numId w:val="19"/>
      </w:numPr>
      <w:jc w:val="both"/>
      <w:outlineLvl w:val="7"/>
    </w:pPr>
    <w:rPr>
      <w:rFonts w:ascii="Times New Roman" w:hAnsi="Times New Roman" w:cs="Times New Roman"/>
      <w:szCs w:val="20"/>
    </w:rPr>
  </w:style>
  <w:style w:type="paragraph" w:customStyle="1" w:styleId="Textodstavce">
    <w:name w:val="Text odstavce"/>
    <w:basedOn w:val="Normln"/>
    <w:rsid w:val="00FD1DCA"/>
    <w:pPr>
      <w:numPr>
        <w:numId w:val="19"/>
      </w:numPr>
      <w:tabs>
        <w:tab w:val="left" w:pos="851"/>
      </w:tabs>
      <w:spacing w:before="120" w:after="120"/>
      <w:jc w:val="both"/>
      <w:outlineLvl w:val="6"/>
    </w:pPr>
    <w:rPr>
      <w:rFonts w:ascii="Times New Roman" w:hAnsi="Times New Roman" w:cs="Times New Roman"/>
      <w:szCs w:val="20"/>
    </w:rPr>
  </w:style>
  <w:style w:type="paragraph" w:customStyle="1" w:styleId="Odstavecseseznamem2">
    <w:name w:val="Odstavec se seznamem2"/>
    <w:basedOn w:val="Normln"/>
    <w:rsid w:val="00524D00"/>
    <w:pPr>
      <w:ind w:left="720"/>
      <w:contextualSpacing/>
    </w:pPr>
    <w:rPr>
      <w:rFonts w:ascii="Times New Roman" w:eastAsia="Calibri" w:hAnsi="Times New Roman" w:cs="Times New Roman"/>
    </w:rPr>
  </w:style>
  <w:style w:type="character" w:customStyle="1" w:styleId="Kurzva">
    <w:name w:val="Kurzíva"/>
    <w:uiPriority w:val="99"/>
    <w:qFormat/>
    <w:rsid w:val="005B3383"/>
    <w:rPr>
      <w:i/>
    </w:rPr>
  </w:style>
  <w:style w:type="character" w:customStyle="1" w:styleId="Normln0">
    <w:name w:val="Normální_"/>
    <w:basedOn w:val="Standardnpsmoodstavce"/>
    <w:uiPriority w:val="99"/>
    <w:qFormat/>
    <w:rsid w:val="005B3383"/>
    <w:rPr>
      <w:rFonts w:asciiTheme="minorHAnsi" w:hAnsiTheme="minorHAnsi" w:cs="Times New Roman"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45BE6"/>
    <w:pPr>
      <w:spacing w:after="0" w:line="240" w:lineRule="auto"/>
    </w:pPr>
    <w:rPr>
      <w:rFonts w:ascii="Arial" w:eastAsia="Times New Roman" w:hAnsi="Arial" w:cs="Arial"/>
      <w:sz w:val="24"/>
      <w:szCs w:val="24"/>
      <w:lang w:eastAsia="cs-CZ"/>
    </w:rPr>
  </w:style>
  <w:style w:type="paragraph" w:styleId="Nadpis2">
    <w:name w:val="heading 2"/>
    <w:basedOn w:val="Normln"/>
    <w:next w:val="Normln"/>
    <w:link w:val="Nadpis2Char"/>
    <w:qFormat/>
    <w:rsid w:val="002D1765"/>
    <w:pPr>
      <w:keepNext/>
      <w:outlineLvl w:val="1"/>
    </w:pPr>
    <w:rPr>
      <w:rFonts w:ascii="Times New Roman" w:hAnsi="Times New Roman" w:cs="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D1765"/>
    <w:pPr>
      <w:jc w:val="both"/>
    </w:pPr>
  </w:style>
  <w:style w:type="character" w:customStyle="1" w:styleId="ZkladntextChar">
    <w:name w:val="Základní text Char"/>
    <w:basedOn w:val="Standardnpsmoodstavce"/>
    <w:link w:val="Zkladntext"/>
    <w:rsid w:val="002D1765"/>
    <w:rPr>
      <w:rFonts w:ascii="Arial" w:eastAsia="Times New Roman" w:hAnsi="Arial" w:cs="Arial"/>
      <w:sz w:val="24"/>
      <w:szCs w:val="24"/>
      <w:lang w:eastAsia="cs-CZ"/>
    </w:rPr>
  </w:style>
  <w:style w:type="character" w:customStyle="1" w:styleId="Nadpis2Char">
    <w:name w:val="Nadpis 2 Char"/>
    <w:basedOn w:val="Standardnpsmoodstavce"/>
    <w:link w:val="Nadpis2"/>
    <w:rsid w:val="002D1765"/>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2D1765"/>
    <w:pPr>
      <w:spacing w:before="44" w:after="52"/>
      <w:ind w:left="17"/>
    </w:pPr>
    <w:rPr>
      <w:rFonts w:ascii="Times New Roman" w:hAnsi="Times New Roman" w:cs="Times New Roman"/>
      <w:color w:val="444444"/>
    </w:rPr>
  </w:style>
  <w:style w:type="paragraph" w:styleId="Zkladntext2">
    <w:name w:val="Body Text 2"/>
    <w:basedOn w:val="Normln"/>
    <w:link w:val="Zkladntext2Char"/>
    <w:uiPriority w:val="99"/>
    <w:unhideWhenUsed/>
    <w:rsid w:val="002D1765"/>
    <w:pPr>
      <w:spacing w:after="120" w:line="480" w:lineRule="auto"/>
    </w:pPr>
  </w:style>
  <w:style w:type="character" w:customStyle="1" w:styleId="Zkladntext2Char">
    <w:name w:val="Základní text 2 Char"/>
    <w:basedOn w:val="Standardnpsmoodstavce"/>
    <w:link w:val="Zkladntext2"/>
    <w:uiPriority w:val="99"/>
    <w:rsid w:val="002D1765"/>
    <w:rPr>
      <w:rFonts w:ascii="Arial" w:eastAsia="Times New Roman" w:hAnsi="Arial" w:cs="Arial"/>
      <w:sz w:val="24"/>
      <w:szCs w:val="24"/>
      <w:lang w:eastAsia="cs-CZ"/>
    </w:rPr>
  </w:style>
  <w:style w:type="paragraph" w:styleId="Textbubliny">
    <w:name w:val="Balloon Text"/>
    <w:basedOn w:val="Normln"/>
    <w:link w:val="TextbublinyChar"/>
    <w:rsid w:val="00D554F7"/>
    <w:rPr>
      <w:rFonts w:ascii="Tahoma" w:hAnsi="Tahoma" w:cs="Tahoma"/>
      <w:sz w:val="16"/>
      <w:szCs w:val="16"/>
    </w:rPr>
  </w:style>
  <w:style w:type="character" w:customStyle="1" w:styleId="TextbublinyChar">
    <w:name w:val="Text bubliny Char"/>
    <w:basedOn w:val="Standardnpsmoodstavce"/>
    <w:link w:val="Textbubliny"/>
    <w:rsid w:val="00D554F7"/>
    <w:rPr>
      <w:rFonts w:ascii="Tahoma" w:eastAsia="Times New Roman" w:hAnsi="Tahoma" w:cs="Tahoma"/>
      <w:sz w:val="16"/>
      <w:szCs w:val="16"/>
      <w:lang w:eastAsia="cs-CZ"/>
    </w:rPr>
  </w:style>
  <w:style w:type="paragraph" w:styleId="Zkladntextodsazen">
    <w:name w:val="Body Text Indent"/>
    <w:basedOn w:val="Normln"/>
    <w:link w:val="ZkladntextodsazenChar"/>
    <w:uiPriority w:val="99"/>
    <w:unhideWhenUsed/>
    <w:rsid w:val="00D554F7"/>
    <w:pPr>
      <w:spacing w:after="120"/>
      <w:ind w:left="283"/>
    </w:pPr>
  </w:style>
  <w:style w:type="character" w:customStyle="1" w:styleId="ZkladntextodsazenChar">
    <w:name w:val="Základní text odsazený Char"/>
    <w:basedOn w:val="Standardnpsmoodstavce"/>
    <w:link w:val="Zkladntextodsazen"/>
    <w:uiPriority w:val="99"/>
    <w:rsid w:val="00D554F7"/>
    <w:rPr>
      <w:rFonts w:ascii="Arial" w:eastAsia="Times New Roman" w:hAnsi="Arial" w:cs="Arial"/>
      <w:sz w:val="24"/>
      <w:szCs w:val="24"/>
      <w:lang w:eastAsia="cs-CZ"/>
    </w:rPr>
  </w:style>
  <w:style w:type="character" w:styleId="Hypertextovodkaz">
    <w:name w:val="Hyperlink"/>
    <w:uiPriority w:val="99"/>
    <w:unhideWhenUsed/>
    <w:rsid w:val="00D554F7"/>
    <w:rPr>
      <w:color w:val="0000FF"/>
      <w:u w:val="single"/>
    </w:rPr>
  </w:style>
  <w:style w:type="paragraph" w:customStyle="1" w:styleId="Novelizanbod">
    <w:name w:val="Novelizační bod"/>
    <w:basedOn w:val="Normln"/>
    <w:next w:val="Normln"/>
    <w:rsid w:val="00D554F7"/>
    <w:pPr>
      <w:keepNext/>
      <w:keepLines/>
      <w:numPr>
        <w:numId w:val="3"/>
      </w:numPr>
      <w:tabs>
        <w:tab w:val="clear" w:pos="567"/>
        <w:tab w:val="left" w:pos="851"/>
      </w:tabs>
      <w:spacing w:before="480" w:after="120" w:line="276" w:lineRule="auto"/>
      <w:ind w:left="720" w:hanging="360"/>
    </w:pPr>
    <w:rPr>
      <w:rFonts w:ascii="Calibri" w:eastAsia="Calibri" w:hAnsi="Calibri" w:cs="Times New Roman"/>
      <w:sz w:val="22"/>
      <w:szCs w:val="22"/>
      <w:lang w:eastAsia="en-US"/>
    </w:rPr>
  </w:style>
  <w:style w:type="paragraph" w:styleId="Bezmezer">
    <w:name w:val="No Spacing"/>
    <w:link w:val="BezmezerChar"/>
    <w:uiPriority w:val="1"/>
    <w:qFormat/>
    <w:rsid w:val="007E0522"/>
    <w:pPr>
      <w:spacing w:after="0" w:line="240" w:lineRule="auto"/>
    </w:pPr>
    <w:rPr>
      <w:rFonts w:ascii="Arial" w:eastAsia="Calibri" w:hAnsi="Arial" w:cs="Times New Roman"/>
    </w:rPr>
  </w:style>
  <w:style w:type="character" w:customStyle="1" w:styleId="BezmezerChar">
    <w:name w:val="Bez mezer Char"/>
    <w:link w:val="Bezmezer"/>
    <w:uiPriority w:val="1"/>
    <w:rsid w:val="007E0522"/>
    <w:rPr>
      <w:rFonts w:ascii="Arial" w:eastAsia="Calibri" w:hAnsi="Arial" w:cs="Times New Roman"/>
    </w:rPr>
  </w:style>
  <w:style w:type="paragraph" w:styleId="Odstavecseseznamem">
    <w:name w:val="List Paragraph"/>
    <w:basedOn w:val="Normln"/>
    <w:uiPriority w:val="34"/>
    <w:qFormat/>
    <w:rsid w:val="007E0522"/>
    <w:pPr>
      <w:ind w:left="720"/>
      <w:contextualSpacing/>
    </w:pPr>
    <w:rPr>
      <w:rFonts w:ascii="Times New Roman" w:hAnsi="Times New Roman" w:cs="Times New Roman"/>
    </w:rPr>
  </w:style>
  <w:style w:type="paragraph" w:customStyle="1" w:styleId="Textparagrafu">
    <w:name w:val="Text paragrafu"/>
    <w:basedOn w:val="Normln"/>
    <w:rsid w:val="004924D4"/>
    <w:pPr>
      <w:spacing w:before="240"/>
      <w:ind w:firstLine="425"/>
      <w:jc w:val="both"/>
      <w:outlineLvl w:val="5"/>
    </w:pPr>
    <w:rPr>
      <w:rFonts w:ascii="Times New Roman" w:hAnsi="Times New Roman" w:cs="Times New Roman"/>
      <w:szCs w:val="20"/>
    </w:rPr>
  </w:style>
  <w:style w:type="paragraph" w:customStyle="1" w:styleId="KRUTEXTODSTAVCE">
    <w:name w:val="_KRU_TEXT_ODSTAVCE"/>
    <w:basedOn w:val="Normln"/>
    <w:rsid w:val="006F0806"/>
    <w:pPr>
      <w:spacing w:line="288" w:lineRule="auto"/>
    </w:pPr>
    <w:rPr>
      <w:sz w:val="22"/>
    </w:rPr>
  </w:style>
  <w:style w:type="character" w:customStyle="1" w:styleId="xsptextcomputedfield">
    <w:name w:val="xsptextcomputedfield"/>
    <w:rsid w:val="000D6166"/>
  </w:style>
  <w:style w:type="paragraph" w:customStyle="1" w:styleId="Default">
    <w:name w:val="Default"/>
    <w:rsid w:val="005A2CB9"/>
    <w:pPr>
      <w:autoSpaceDE w:val="0"/>
      <w:autoSpaceDN w:val="0"/>
      <w:adjustRightInd w:val="0"/>
      <w:spacing w:after="0" w:line="240" w:lineRule="auto"/>
    </w:pPr>
    <w:rPr>
      <w:rFonts w:ascii="Verdana" w:hAnsi="Verdana" w:cs="Verdana"/>
      <w:color w:val="000000"/>
      <w:sz w:val="24"/>
      <w:szCs w:val="24"/>
    </w:rPr>
  </w:style>
  <w:style w:type="paragraph" w:styleId="Zhlav">
    <w:name w:val="header"/>
    <w:basedOn w:val="Normln"/>
    <w:link w:val="ZhlavChar"/>
    <w:uiPriority w:val="99"/>
    <w:unhideWhenUsed/>
    <w:rsid w:val="00862E44"/>
    <w:pPr>
      <w:tabs>
        <w:tab w:val="center" w:pos="4536"/>
        <w:tab w:val="right" w:pos="9072"/>
      </w:tabs>
    </w:pPr>
  </w:style>
  <w:style w:type="character" w:customStyle="1" w:styleId="ZhlavChar">
    <w:name w:val="Záhlaví Char"/>
    <w:basedOn w:val="Standardnpsmoodstavce"/>
    <w:link w:val="Zhlav"/>
    <w:uiPriority w:val="99"/>
    <w:rsid w:val="00862E44"/>
    <w:rPr>
      <w:rFonts w:ascii="Arial" w:eastAsia="Times New Roman" w:hAnsi="Arial" w:cs="Arial"/>
      <w:sz w:val="24"/>
      <w:szCs w:val="24"/>
      <w:lang w:eastAsia="cs-CZ"/>
    </w:rPr>
  </w:style>
  <w:style w:type="paragraph" w:styleId="Zpat">
    <w:name w:val="footer"/>
    <w:basedOn w:val="Normln"/>
    <w:link w:val="ZpatChar"/>
    <w:uiPriority w:val="99"/>
    <w:unhideWhenUsed/>
    <w:rsid w:val="00862E44"/>
    <w:pPr>
      <w:tabs>
        <w:tab w:val="center" w:pos="4536"/>
        <w:tab w:val="right" w:pos="9072"/>
      </w:tabs>
    </w:pPr>
  </w:style>
  <w:style w:type="character" w:customStyle="1" w:styleId="ZpatChar">
    <w:name w:val="Zápatí Char"/>
    <w:basedOn w:val="Standardnpsmoodstavce"/>
    <w:link w:val="Zpat"/>
    <w:uiPriority w:val="99"/>
    <w:rsid w:val="00862E44"/>
    <w:rPr>
      <w:rFonts w:ascii="Arial" w:eastAsia="Times New Roman" w:hAnsi="Arial" w:cs="Arial"/>
      <w:sz w:val="24"/>
      <w:szCs w:val="24"/>
      <w:lang w:eastAsia="cs-CZ"/>
    </w:rPr>
  </w:style>
  <w:style w:type="paragraph" w:customStyle="1" w:styleId="Odstavecseseznamem1">
    <w:name w:val="Odstavec se seznamem1"/>
    <w:basedOn w:val="Normln"/>
    <w:rsid w:val="00D41ADE"/>
    <w:pPr>
      <w:ind w:left="720"/>
      <w:contextualSpacing/>
    </w:pPr>
    <w:rPr>
      <w:rFonts w:ascii="Times New Roman" w:eastAsia="Calibri" w:hAnsi="Times New Roman" w:cs="Times New Roman"/>
    </w:rPr>
  </w:style>
  <w:style w:type="character" w:styleId="Siln">
    <w:name w:val="Strong"/>
    <w:basedOn w:val="Standardnpsmoodstavce"/>
    <w:uiPriority w:val="22"/>
    <w:qFormat/>
    <w:rsid w:val="00D41ADE"/>
    <w:rPr>
      <w:b/>
      <w:bCs/>
    </w:rPr>
  </w:style>
  <w:style w:type="paragraph" w:customStyle="1" w:styleId="CharCharCharCharChar">
    <w:name w:val="Char Char Char Char Char"/>
    <w:basedOn w:val="Normln"/>
    <w:rsid w:val="002607CB"/>
    <w:pPr>
      <w:spacing w:after="160" w:line="240" w:lineRule="exact"/>
    </w:pPr>
    <w:rPr>
      <w:rFonts w:ascii="Tahoma" w:hAnsi="Tahoma" w:cs="Tahoma"/>
      <w:sz w:val="22"/>
      <w:szCs w:val="22"/>
      <w:lang w:val="en-US" w:eastAsia="en-US"/>
    </w:rPr>
  </w:style>
  <w:style w:type="paragraph" w:styleId="Nzev">
    <w:name w:val="Title"/>
    <w:basedOn w:val="Normln"/>
    <w:link w:val="NzevChar"/>
    <w:qFormat/>
    <w:rsid w:val="002607CB"/>
    <w:pPr>
      <w:jc w:val="center"/>
    </w:pPr>
    <w:rPr>
      <w:rFonts w:ascii="Tahoma" w:hAnsi="Tahoma" w:cs="Tahoma"/>
      <w:b/>
      <w:bCs/>
    </w:rPr>
  </w:style>
  <w:style w:type="character" w:customStyle="1" w:styleId="NzevChar">
    <w:name w:val="Název Char"/>
    <w:basedOn w:val="Standardnpsmoodstavce"/>
    <w:link w:val="Nzev"/>
    <w:rsid w:val="002607CB"/>
    <w:rPr>
      <w:rFonts w:ascii="Tahoma" w:eastAsia="Times New Roman" w:hAnsi="Tahoma" w:cs="Tahoma"/>
      <w:b/>
      <w:bCs/>
      <w:sz w:val="24"/>
      <w:szCs w:val="24"/>
      <w:lang w:eastAsia="cs-CZ"/>
    </w:rPr>
  </w:style>
  <w:style w:type="paragraph" w:customStyle="1" w:styleId="Textbodu">
    <w:name w:val="Text bodu"/>
    <w:basedOn w:val="Normln"/>
    <w:rsid w:val="00FD1DCA"/>
    <w:pPr>
      <w:numPr>
        <w:ilvl w:val="2"/>
        <w:numId w:val="19"/>
      </w:numPr>
      <w:jc w:val="both"/>
      <w:outlineLvl w:val="8"/>
    </w:pPr>
    <w:rPr>
      <w:rFonts w:ascii="Times New Roman" w:hAnsi="Times New Roman" w:cs="Times New Roman"/>
      <w:szCs w:val="20"/>
    </w:rPr>
  </w:style>
  <w:style w:type="paragraph" w:customStyle="1" w:styleId="Textpsmene">
    <w:name w:val="Text písmene"/>
    <w:basedOn w:val="Normln"/>
    <w:rsid w:val="00FD1DCA"/>
    <w:pPr>
      <w:numPr>
        <w:ilvl w:val="1"/>
        <w:numId w:val="19"/>
      </w:numPr>
      <w:jc w:val="both"/>
      <w:outlineLvl w:val="7"/>
    </w:pPr>
    <w:rPr>
      <w:rFonts w:ascii="Times New Roman" w:hAnsi="Times New Roman" w:cs="Times New Roman"/>
      <w:szCs w:val="20"/>
    </w:rPr>
  </w:style>
  <w:style w:type="paragraph" w:customStyle="1" w:styleId="Textodstavce">
    <w:name w:val="Text odstavce"/>
    <w:basedOn w:val="Normln"/>
    <w:rsid w:val="00FD1DCA"/>
    <w:pPr>
      <w:numPr>
        <w:numId w:val="19"/>
      </w:numPr>
      <w:tabs>
        <w:tab w:val="left" w:pos="851"/>
      </w:tabs>
      <w:spacing w:before="120" w:after="120"/>
      <w:jc w:val="both"/>
      <w:outlineLvl w:val="6"/>
    </w:pPr>
    <w:rPr>
      <w:rFonts w:ascii="Times New Roman" w:hAnsi="Times New Roman" w:cs="Times New Roman"/>
      <w:szCs w:val="20"/>
    </w:rPr>
  </w:style>
  <w:style w:type="paragraph" w:customStyle="1" w:styleId="Odstavecseseznamem2">
    <w:name w:val="Odstavec se seznamem2"/>
    <w:basedOn w:val="Normln"/>
    <w:rsid w:val="00524D00"/>
    <w:pPr>
      <w:ind w:left="720"/>
      <w:contextualSpacing/>
    </w:pPr>
    <w:rPr>
      <w:rFonts w:ascii="Times New Roman" w:eastAsia="Calibri" w:hAnsi="Times New Roman" w:cs="Times New Roman"/>
    </w:rPr>
  </w:style>
  <w:style w:type="character" w:customStyle="1" w:styleId="Kurzva">
    <w:name w:val="Kurzíva"/>
    <w:uiPriority w:val="99"/>
    <w:qFormat/>
    <w:rsid w:val="005B3383"/>
    <w:rPr>
      <w:i/>
    </w:rPr>
  </w:style>
  <w:style w:type="character" w:customStyle="1" w:styleId="Normln0">
    <w:name w:val="Normální_"/>
    <w:basedOn w:val="Standardnpsmoodstavce"/>
    <w:uiPriority w:val="99"/>
    <w:qFormat/>
    <w:rsid w:val="005B3383"/>
    <w:rPr>
      <w:rFonts w:asciiTheme="minorHAnsi" w:hAnsiTheme="minorHAnsi"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92838">
      <w:bodyDiv w:val="1"/>
      <w:marLeft w:val="0"/>
      <w:marRight w:val="0"/>
      <w:marTop w:val="0"/>
      <w:marBottom w:val="0"/>
      <w:divBdr>
        <w:top w:val="none" w:sz="0" w:space="0" w:color="auto"/>
        <w:left w:val="none" w:sz="0" w:space="0" w:color="auto"/>
        <w:bottom w:val="none" w:sz="0" w:space="0" w:color="auto"/>
        <w:right w:val="none" w:sz="0" w:space="0" w:color="auto"/>
      </w:divBdr>
    </w:div>
    <w:div w:id="302783330">
      <w:bodyDiv w:val="1"/>
      <w:marLeft w:val="0"/>
      <w:marRight w:val="0"/>
      <w:marTop w:val="0"/>
      <w:marBottom w:val="0"/>
      <w:divBdr>
        <w:top w:val="none" w:sz="0" w:space="0" w:color="auto"/>
        <w:left w:val="none" w:sz="0" w:space="0" w:color="auto"/>
        <w:bottom w:val="none" w:sz="0" w:space="0" w:color="auto"/>
        <w:right w:val="none" w:sz="0" w:space="0" w:color="auto"/>
      </w:divBdr>
    </w:div>
    <w:div w:id="316687610">
      <w:bodyDiv w:val="1"/>
      <w:marLeft w:val="0"/>
      <w:marRight w:val="0"/>
      <w:marTop w:val="0"/>
      <w:marBottom w:val="0"/>
      <w:divBdr>
        <w:top w:val="none" w:sz="0" w:space="0" w:color="auto"/>
        <w:left w:val="none" w:sz="0" w:space="0" w:color="auto"/>
        <w:bottom w:val="none" w:sz="0" w:space="0" w:color="auto"/>
        <w:right w:val="none" w:sz="0" w:space="0" w:color="auto"/>
      </w:divBdr>
    </w:div>
    <w:div w:id="384959992">
      <w:bodyDiv w:val="1"/>
      <w:marLeft w:val="0"/>
      <w:marRight w:val="0"/>
      <w:marTop w:val="0"/>
      <w:marBottom w:val="0"/>
      <w:divBdr>
        <w:top w:val="none" w:sz="0" w:space="0" w:color="auto"/>
        <w:left w:val="none" w:sz="0" w:space="0" w:color="auto"/>
        <w:bottom w:val="none" w:sz="0" w:space="0" w:color="auto"/>
        <w:right w:val="none" w:sz="0" w:space="0" w:color="auto"/>
      </w:divBdr>
    </w:div>
    <w:div w:id="422838981">
      <w:bodyDiv w:val="1"/>
      <w:marLeft w:val="0"/>
      <w:marRight w:val="0"/>
      <w:marTop w:val="0"/>
      <w:marBottom w:val="0"/>
      <w:divBdr>
        <w:top w:val="none" w:sz="0" w:space="0" w:color="auto"/>
        <w:left w:val="none" w:sz="0" w:space="0" w:color="auto"/>
        <w:bottom w:val="none" w:sz="0" w:space="0" w:color="auto"/>
        <w:right w:val="none" w:sz="0" w:space="0" w:color="auto"/>
      </w:divBdr>
    </w:div>
    <w:div w:id="620919971">
      <w:bodyDiv w:val="1"/>
      <w:marLeft w:val="0"/>
      <w:marRight w:val="0"/>
      <w:marTop w:val="0"/>
      <w:marBottom w:val="0"/>
      <w:divBdr>
        <w:top w:val="none" w:sz="0" w:space="0" w:color="auto"/>
        <w:left w:val="none" w:sz="0" w:space="0" w:color="auto"/>
        <w:bottom w:val="none" w:sz="0" w:space="0" w:color="auto"/>
        <w:right w:val="none" w:sz="0" w:space="0" w:color="auto"/>
      </w:divBdr>
    </w:div>
    <w:div w:id="623467186">
      <w:bodyDiv w:val="1"/>
      <w:marLeft w:val="0"/>
      <w:marRight w:val="0"/>
      <w:marTop w:val="0"/>
      <w:marBottom w:val="0"/>
      <w:divBdr>
        <w:top w:val="none" w:sz="0" w:space="0" w:color="auto"/>
        <w:left w:val="none" w:sz="0" w:space="0" w:color="auto"/>
        <w:bottom w:val="none" w:sz="0" w:space="0" w:color="auto"/>
        <w:right w:val="none" w:sz="0" w:space="0" w:color="auto"/>
      </w:divBdr>
    </w:div>
    <w:div w:id="699817842">
      <w:bodyDiv w:val="1"/>
      <w:marLeft w:val="0"/>
      <w:marRight w:val="0"/>
      <w:marTop w:val="0"/>
      <w:marBottom w:val="0"/>
      <w:divBdr>
        <w:top w:val="none" w:sz="0" w:space="0" w:color="auto"/>
        <w:left w:val="none" w:sz="0" w:space="0" w:color="auto"/>
        <w:bottom w:val="none" w:sz="0" w:space="0" w:color="auto"/>
        <w:right w:val="none" w:sz="0" w:space="0" w:color="auto"/>
      </w:divBdr>
    </w:div>
    <w:div w:id="1073548316">
      <w:bodyDiv w:val="1"/>
      <w:marLeft w:val="0"/>
      <w:marRight w:val="0"/>
      <w:marTop w:val="0"/>
      <w:marBottom w:val="0"/>
      <w:divBdr>
        <w:top w:val="none" w:sz="0" w:space="0" w:color="auto"/>
        <w:left w:val="none" w:sz="0" w:space="0" w:color="auto"/>
        <w:bottom w:val="none" w:sz="0" w:space="0" w:color="auto"/>
        <w:right w:val="none" w:sz="0" w:space="0" w:color="auto"/>
      </w:divBdr>
    </w:div>
    <w:div w:id="1159232655">
      <w:bodyDiv w:val="1"/>
      <w:marLeft w:val="0"/>
      <w:marRight w:val="0"/>
      <w:marTop w:val="0"/>
      <w:marBottom w:val="0"/>
      <w:divBdr>
        <w:top w:val="none" w:sz="0" w:space="0" w:color="auto"/>
        <w:left w:val="none" w:sz="0" w:space="0" w:color="auto"/>
        <w:bottom w:val="none" w:sz="0" w:space="0" w:color="auto"/>
        <w:right w:val="none" w:sz="0" w:space="0" w:color="auto"/>
      </w:divBdr>
    </w:div>
    <w:div w:id="1284726346">
      <w:bodyDiv w:val="1"/>
      <w:marLeft w:val="0"/>
      <w:marRight w:val="0"/>
      <w:marTop w:val="0"/>
      <w:marBottom w:val="0"/>
      <w:divBdr>
        <w:top w:val="none" w:sz="0" w:space="0" w:color="auto"/>
        <w:left w:val="none" w:sz="0" w:space="0" w:color="auto"/>
        <w:bottom w:val="none" w:sz="0" w:space="0" w:color="auto"/>
        <w:right w:val="none" w:sz="0" w:space="0" w:color="auto"/>
      </w:divBdr>
    </w:div>
    <w:div w:id="1402218734">
      <w:bodyDiv w:val="1"/>
      <w:marLeft w:val="0"/>
      <w:marRight w:val="0"/>
      <w:marTop w:val="0"/>
      <w:marBottom w:val="0"/>
      <w:divBdr>
        <w:top w:val="none" w:sz="0" w:space="0" w:color="auto"/>
        <w:left w:val="none" w:sz="0" w:space="0" w:color="auto"/>
        <w:bottom w:val="none" w:sz="0" w:space="0" w:color="auto"/>
        <w:right w:val="none" w:sz="0" w:space="0" w:color="auto"/>
      </w:divBdr>
    </w:div>
    <w:div w:id="1417164386">
      <w:bodyDiv w:val="1"/>
      <w:marLeft w:val="0"/>
      <w:marRight w:val="0"/>
      <w:marTop w:val="0"/>
      <w:marBottom w:val="0"/>
      <w:divBdr>
        <w:top w:val="none" w:sz="0" w:space="0" w:color="auto"/>
        <w:left w:val="none" w:sz="0" w:space="0" w:color="auto"/>
        <w:bottom w:val="none" w:sz="0" w:space="0" w:color="auto"/>
        <w:right w:val="none" w:sz="0" w:space="0" w:color="auto"/>
      </w:divBdr>
    </w:div>
    <w:div w:id="1455832475">
      <w:bodyDiv w:val="1"/>
      <w:marLeft w:val="0"/>
      <w:marRight w:val="0"/>
      <w:marTop w:val="0"/>
      <w:marBottom w:val="0"/>
      <w:divBdr>
        <w:top w:val="none" w:sz="0" w:space="0" w:color="auto"/>
        <w:left w:val="none" w:sz="0" w:space="0" w:color="auto"/>
        <w:bottom w:val="none" w:sz="0" w:space="0" w:color="auto"/>
        <w:right w:val="none" w:sz="0" w:space="0" w:color="auto"/>
      </w:divBdr>
    </w:div>
    <w:div w:id="1624186279">
      <w:bodyDiv w:val="1"/>
      <w:marLeft w:val="0"/>
      <w:marRight w:val="0"/>
      <w:marTop w:val="0"/>
      <w:marBottom w:val="0"/>
      <w:divBdr>
        <w:top w:val="none" w:sz="0" w:space="0" w:color="auto"/>
        <w:left w:val="none" w:sz="0" w:space="0" w:color="auto"/>
        <w:bottom w:val="none" w:sz="0" w:space="0" w:color="auto"/>
        <w:right w:val="none" w:sz="0" w:space="0" w:color="auto"/>
      </w:divBdr>
    </w:div>
    <w:div w:id="1773627227">
      <w:bodyDiv w:val="1"/>
      <w:marLeft w:val="0"/>
      <w:marRight w:val="0"/>
      <w:marTop w:val="0"/>
      <w:marBottom w:val="0"/>
      <w:divBdr>
        <w:top w:val="none" w:sz="0" w:space="0" w:color="auto"/>
        <w:left w:val="none" w:sz="0" w:space="0" w:color="auto"/>
        <w:bottom w:val="none" w:sz="0" w:space="0" w:color="auto"/>
        <w:right w:val="none" w:sz="0" w:space="0" w:color="auto"/>
      </w:divBdr>
    </w:div>
    <w:div w:id="1825658038">
      <w:bodyDiv w:val="1"/>
      <w:marLeft w:val="0"/>
      <w:marRight w:val="0"/>
      <w:marTop w:val="0"/>
      <w:marBottom w:val="0"/>
      <w:divBdr>
        <w:top w:val="none" w:sz="0" w:space="0" w:color="auto"/>
        <w:left w:val="none" w:sz="0" w:space="0" w:color="auto"/>
        <w:bottom w:val="none" w:sz="0" w:space="0" w:color="auto"/>
        <w:right w:val="none" w:sz="0" w:space="0" w:color="auto"/>
      </w:divBdr>
    </w:div>
    <w:div w:id="1871145550">
      <w:bodyDiv w:val="1"/>
      <w:marLeft w:val="0"/>
      <w:marRight w:val="0"/>
      <w:marTop w:val="0"/>
      <w:marBottom w:val="0"/>
      <w:divBdr>
        <w:top w:val="none" w:sz="0" w:space="0" w:color="auto"/>
        <w:left w:val="none" w:sz="0" w:space="0" w:color="auto"/>
        <w:bottom w:val="none" w:sz="0" w:space="0" w:color="auto"/>
        <w:right w:val="none" w:sz="0" w:space="0" w:color="auto"/>
      </w:divBdr>
    </w:div>
    <w:div w:id="205619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508D9-7E49-4A9D-A0BD-1E415937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3297</Words>
  <Characters>19454</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22706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Sikorská Eliška</dc:creator>
  <cp:lastModifiedBy>Kapounová Radka Ing.</cp:lastModifiedBy>
  <cp:revision>14</cp:revision>
  <dcterms:created xsi:type="dcterms:W3CDTF">2013-12-02T11:14:00Z</dcterms:created>
  <dcterms:modified xsi:type="dcterms:W3CDTF">2013-12-02T18:14:00Z</dcterms:modified>
</cp:coreProperties>
</file>